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rsidP="00F46CE0">
      <w:pPr>
        <w:spacing w:after="30" w:line="259" w:lineRule="auto"/>
        <w:ind w:right="40"/>
        <w:jc w:val="center"/>
      </w:pPr>
      <w:r>
        <w:rPr>
          <w:b/>
          <w:sz w:val="32"/>
        </w:rPr>
        <w:t>SPIS SPECY</w:t>
      </w:r>
      <w:r w:rsidR="00F46CE0">
        <w:rPr>
          <w:b/>
          <w:sz w:val="32"/>
        </w:rPr>
        <w:t xml:space="preserve">FIKACJI TECHNICZNYCH WYKONANIA </w:t>
      </w:r>
      <w:r>
        <w:rPr>
          <w:b/>
          <w:sz w:val="32"/>
        </w:rPr>
        <w:t xml:space="preserve">I ODBIORU ROBÓT </w:t>
      </w:r>
      <w:r w:rsidR="000A6C1F">
        <w:rPr>
          <w:b/>
          <w:sz w:val="32"/>
        </w:rPr>
        <w:t>ul. Jasna , ul. Widna, ul. Spacerowa w Zalesiu Górnym</w:t>
      </w:r>
      <w:bookmarkStart w:id="0" w:name="_GoBack"/>
      <w:bookmarkEnd w:id="0"/>
      <w:r w:rsidR="00F46CE0">
        <w:rPr>
          <w:b/>
          <w:sz w:val="32"/>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D.01.01.01 Odtworzenie (wyznaczenie) trasy i punktów wysokościowych ...............</w:t>
      </w:r>
      <w:r w:rsidR="00F3510C"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D.03.02.01a Regulacja pionowa studzienek i włazów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D.04.01.01 Profilowanie, zagęszczenie podłoża i istniejącej podbudowy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D.04.03.01 Oczyszczenie i skropienie warstw konstrukcyjnych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D.04.04.02 Podbudowa z mieszanki niezwiązanej ...................................................</w:t>
      </w:r>
      <w:r w:rsidR="00563464" w:rsidRPr="00ED0732">
        <w:rPr>
          <w:rFonts w:ascii="Times New Roman" w:hAnsi="Times New Roman" w:cs="Times New Roman"/>
        </w:rPr>
        <w:t>.........................</w:t>
      </w:r>
    </w:p>
    <w:p w:rsidR="00F3510C"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 xml:space="preserve">D.05.01.01 Nawierzchnia żwirowa </w:t>
      </w:r>
      <w:r w:rsidR="00941962">
        <w:rPr>
          <w:rFonts w:ascii="Times New Roman" w:hAnsi="Times New Roman" w:cs="Times New Roman"/>
        </w:rPr>
        <w:t>na poboczach</w:t>
      </w:r>
      <w:r w:rsidRPr="00ED0732">
        <w:rPr>
          <w:rFonts w:ascii="Times New Roman" w:hAnsi="Times New Roman" w:cs="Times New Roman"/>
        </w:rPr>
        <w:t xml:space="preserve">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D.05.03.05a Nawierzchnia z betonu asfaltowego - warstwa wiążąca ...................</w:t>
      </w:r>
      <w:r w:rsidR="00563464" w:rsidRPr="00ED0732">
        <w:rPr>
          <w:rFonts w:ascii="Times New Roman" w:hAnsi="Times New Roman" w:cs="Times New Roman"/>
        </w:rPr>
        <w:t>............................</w:t>
      </w:r>
    </w:p>
    <w:p w:rsidR="0051360F" w:rsidRDefault="003A7FE2" w:rsidP="0051360F">
      <w:pPr>
        <w:spacing w:line="600" w:lineRule="auto"/>
        <w:rPr>
          <w:rFonts w:ascii="Times New Roman" w:hAnsi="Times New Roman" w:cs="Times New Roman"/>
        </w:rPr>
      </w:pPr>
      <w:r w:rsidRPr="00ED0732">
        <w:rPr>
          <w:rFonts w:ascii="Times New Roman" w:hAnsi="Times New Roman" w:cs="Times New Roman"/>
        </w:rPr>
        <w:t>D.05.03.05b Nawierzchnia z betonu asfaltowego - warstwa ścieralna .................</w:t>
      </w:r>
      <w:r w:rsidR="00563464" w:rsidRPr="00ED0732">
        <w:rPr>
          <w:rFonts w:ascii="Times New Roman" w:hAnsi="Times New Roman" w:cs="Times New Roman"/>
        </w:rPr>
        <w:t>.............................</w:t>
      </w: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w:t>
      </w:r>
      <w:r w:rsidR="00F82AB8">
        <w:t>odpowiedzialny, za jakość</w:t>
      </w:r>
      <w:r>
        <w:t xml:space="preserve">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lastRenderedPageBreak/>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w:t>
      </w:r>
      <w:r w:rsidR="00F82AB8">
        <w:t>punktów głównych</w:t>
      </w:r>
      <w:r>
        <w:t xml:space="preserve">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rsidP="00F82AB8">
      <w:pPr>
        <w:spacing w:after="201"/>
        <w:ind w:left="-5" w:right="41"/>
      </w:pPr>
      <w:r>
        <w:t>Punkty wierzchołkowe, punkty główne trasy i punkty pośrednie osi trasy muszą być zaopatrzone w oznaczenia określające w sposób wyraźny i jednoznaczny charakterysty</w:t>
      </w:r>
      <w:r w:rsidR="00F82AB8">
        <w:t xml:space="preserve">kę </w:t>
      </w: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lastRenderedPageBreak/>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w:t>
      </w:r>
      <w:r w:rsidR="00F82AB8">
        <w:t>za stabilizowane</w:t>
      </w:r>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w:t>
      </w:r>
      <w:r w:rsidR="00F82AB8">
        <w:t>repera</w:t>
      </w:r>
      <w:r>
        <w:t xml:space="preserve">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Geodezyjno–Kartograficznej, przy wykorzystaniu sieci poligonizacji państwowej albo innej osnowy geodezyjnej. </w:t>
      </w:r>
    </w:p>
    <w:p w:rsidR="005920EE" w:rsidRDefault="003A7FE2" w:rsidP="00F82AB8">
      <w:pPr>
        <w:spacing w:after="201"/>
        <w:ind w:left="-5" w:right="41"/>
      </w:pPr>
      <w:r>
        <w:t xml:space="preserve">Oś trasy powinna być wyznaczona w punktach głównych i w punktach pośrednich w odległości zależnej od charakterystyki terenu i ukształtowania trasy, lecz nie </w:t>
      </w:r>
      <w:r w:rsidR="00F82AB8">
        <w:t>rzadziej, niż co</w:t>
      </w:r>
      <w:r>
        <w:t xml:space="preserve"> 50 metrów. Dopuszczalne odchylenie sytuacyjne wytyczonej osi trasy w stosunku do dokumentacji projektowej nie może być większe od 5 cm. Rzędne niwelety punktów osi trasy należy wyznaczyć z dokładnością do 1 cm w stosunku do</w:t>
      </w:r>
      <w:r w:rsidR="00F82AB8">
        <w:t xml:space="preserve"> rzędnych niwelety określonych </w:t>
      </w: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rsidP="007F26EE">
      <w:pPr>
        <w:numPr>
          <w:ilvl w:val="0"/>
          <w:numId w:val="2"/>
        </w:numPr>
        <w:spacing w:after="207"/>
        <w:ind w:left="-5" w:right="41" w:hanging="240"/>
      </w:pPr>
      <w:r>
        <w:t xml:space="preserve">wyznaczenie w czasie trwania robót ziemnych zarysu nasypów i wykopów na powierzchni terenu (określenie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rsidP="00F80244">
      <w:pPr>
        <w:numPr>
          <w:ilvl w:val="0"/>
          <w:numId w:val="5"/>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5"/>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rsidP="00F80244">
      <w:pPr>
        <w:numPr>
          <w:ilvl w:val="0"/>
          <w:numId w:val="6"/>
        </w:numPr>
        <w:ind w:right="614" w:hanging="118"/>
      </w:pPr>
      <w:r>
        <w:t xml:space="preserve">pierścienie dystansowe powinny odpowiadać wymaganiom normy PN-EN 1917,  </w:t>
      </w:r>
    </w:p>
    <w:p w:rsidR="005920EE" w:rsidRDefault="003A7FE2" w:rsidP="00F80244">
      <w:pPr>
        <w:numPr>
          <w:ilvl w:val="0"/>
          <w:numId w:val="6"/>
        </w:numPr>
        <w:ind w:right="614" w:hanging="118"/>
      </w:pPr>
      <w:r>
        <w:t xml:space="preserve">beton C16/20 powinien odpowiadać wymaganiom normy PN-EN 206-1,  - do betonu należy zastosować cement 32,5 lub 42,5 wg PN-EN 197-1. </w:t>
      </w:r>
    </w:p>
    <w:p w:rsidR="005920EE" w:rsidRDefault="003A7FE2" w:rsidP="00F80244">
      <w:pPr>
        <w:numPr>
          <w:ilvl w:val="0"/>
          <w:numId w:val="6"/>
        </w:numPr>
        <w:ind w:right="614" w:hanging="118"/>
      </w:pPr>
      <w:r>
        <w:t xml:space="preserve">do betonu należy zastosować kruszywo zgodne z normą PN-B-06712 [10]. Marka kruszywa  nie może być niższa niż klasa betonu.  </w:t>
      </w:r>
    </w:p>
    <w:p w:rsidR="00C97840" w:rsidRDefault="003A7FE2" w:rsidP="00F80244">
      <w:pPr>
        <w:numPr>
          <w:ilvl w:val="0"/>
          <w:numId w:val="6"/>
        </w:numPr>
        <w:spacing w:after="303"/>
        <w:ind w:right="614" w:hanging="118"/>
      </w:pPr>
      <w:r>
        <w:t xml:space="preserve">zaprawa cementowa powinna odpowiadać wymaganiom PN–B-14501 [16]. </w:t>
      </w:r>
    </w:p>
    <w:p w:rsidR="005920EE" w:rsidRDefault="003A7FE2" w:rsidP="00F80244">
      <w:pPr>
        <w:numPr>
          <w:ilvl w:val="0"/>
          <w:numId w:val="7"/>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rsidP="00F80244">
      <w:pPr>
        <w:numPr>
          <w:ilvl w:val="0"/>
          <w:numId w:val="7"/>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rsidP="00F80244">
      <w:pPr>
        <w:numPr>
          <w:ilvl w:val="0"/>
          <w:numId w:val="7"/>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7"/>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w:t>
      </w:r>
      <w:r w:rsidR="00F82AB8">
        <w:t>reperów</w:t>
      </w:r>
      <w:r>
        <w:t xml:space="preserve">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rsidP="00F80244">
      <w:pPr>
        <w:numPr>
          <w:ilvl w:val="1"/>
          <w:numId w:val="7"/>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77427C" w:rsidRDefault="003A7FE2" w:rsidP="00F80244">
      <w:pPr>
        <w:numPr>
          <w:ilvl w:val="0"/>
          <w:numId w:val="8"/>
        </w:numPr>
        <w:ind w:right="41" w:hanging="218"/>
      </w:pPr>
      <w:r>
        <w:t xml:space="preserve">Ułożenie i zagęszczenie betonu. </w:t>
      </w:r>
    </w:p>
    <w:p w:rsidR="005920EE" w:rsidRDefault="003A7FE2" w:rsidP="00F80244">
      <w:pPr>
        <w:numPr>
          <w:ilvl w:val="0"/>
          <w:numId w:val="8"/>
        </w:numPr>
        <w:ind w:right="41" w:hanging="218"/>
      </w:pPr>
      <w:r>
        <w:t xml:space="preserve">Osadzenie włazu kanałowego lub innego przykrycia na zaprawie cementowej wraz z </w:t>
      </w:r>
      <w:r w:rsidR="0077427C">
        <w:t>jej p</w:t>
      </w:r>
      <w:r>
        <w:t xml:space="preserve">rzygotowaniem. </w:t>
      </w:r>
    </w:p>
    <w:p w:rsidR="0077427C" w:rsidRDefault="0077427C" w:rsidP="0077427C">
      <w:pPr>
        <w:spacing w:after="318"/>
        <w:ind w:left="218" w:right="41" w:firstLine="0"/>
      </w:pPr>
    </w:p>
    <w:p w:rsidR="005920EE" w:rsidRDefault="003A7FE2" w:rsidP="00F80244">
      <w:pPr>
        <w:numPr>
          <w:ilvl w:val="0"/>
          <w:numId w:val="9"/>
        </w:numPr>
        <w:ind w:right="41" w:hanging="432"/>
      </w:pPr>
      <w:r>
        <w:rPr>
          <w:sz w:val="28"/>
        </w:rPr>
        <w:lastRenderedPageBreak/>
        <w:t>K</w:t>
      </w:r>
      <w:r>
        <w:t>ONTROLA JAKOŚCI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rsidP="00F80244">
      <w:pPr>
        <w:numPr>
          <w:ilvl w:val="0"/>
          <w:numId w:val="9"/>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rsidP="00F80244">
      <w:pPr>
        <w:numPr>
          <w:ilvl w:val="0"/>
          <w:numId w:val="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9"/>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rsidP="00F80244">
      <w:pPr>
        <w:numPr>
          <w:ilvl w:val="1"/>
          <w:numId w:val="9"/>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w:t>
            </w:r>
            <w:r w:rsidR="0077427C">
              <w:t>protokołów</w:t>
            </w:r>
            <w:r>
              <w:t xml:space="preserve">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w:t>
            </w:r>
            <w:r w:rsidR="0077427C">
              <w:t>protokołów</w:t>
            </w:r>
            <w:r>
              <w:t xml:space="preserve">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w:t>
      </w:r>
      <w:r w:rsidR="0077427C">
        <w:t>protokołu</w:t>
      </w:r>
      <w:r>
        <w:t xml:space="preserve">,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w:lastRenderedPageBreak/>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t xml:space="preserve">Cena jednostkowa kompletu wyregulowanych włazów obejmuje: </w:t>
      </w:r>
    </w:p>
    <w:p w:rsidR="005920EE" w:rsidRDefault="003A7FE2" w:rsidP="00F80244">
      <w:pPr>
        <w:numPr>
          <w:ilvl w:val="0"/>
          <w:numId w:val="10"/>
        </w:numPr>
        <w:ind w:right="41" w:hanging="360"/>
      </w:pPr>
      <w:r>
        <w:t xml:space="preserve">opracowanie Projektu Technologii i Organizacji Robót oraz Programu Zapewnienia Jakości, </w:t>
      </w:r>
    </w:p>
    <w:p w:rsidR="005920EE" w:rsidRDefault="003A7FE2" w:rsidP="00F80244">
      <w:pPr>
        <w:numPr>
          <w:ilvl w:val="0"/>
          <w:numId w:val="10"/>
        </w:numPr>
        <w:ind w:right="41" w:hanging="360"/>
      </w:pPr>
      <w:r>
        <w:t xml:space="preserve">roboty przygotowawcze, pomiarowe i oznakowanie i zabezpieczenie robót (wykopów), </w:t>
      </w:r>
    </w:p>
    <w:p w:rsidR="005920EE" w:rsidRDefault="003A7FE2" w:rsidP="00F80244">
      <w:pPr>
        <w:numPr>
          <w:ilvl w:val="0"/>
          <w:numId w:val="10"/>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w:t>
      </w:r>
      <w:r w:rsidR="0077427C">
        <w:t>nienadającego</w:t>
      </w:r>
      <w:r>
        <w:t xml:space="preserve"> się do ponownego wykorzystania, w tym koszty transportu na składowisko. </w:t>
      </w:r>
    </w:p>
    <w:p w:rsidR="005920EE" w:rsidRDefault="003A7FE2" w:rsidP="00F80244">
      <w:pPr>
        <w:numPr>
          <w:ilvl w:val="0"/>
          <w:numId w:val="10"/>
        </w:numPr>
        <w:ind w:right="41" w:hanging="360"/>
      </w:pPr>
      <w:r>
        <w:t xml:space="preserve">wykonanie pomostów zabezpieczających dla ludności z możliwością ich przestawienia w trakcie trwania robót, </w:t>
      </w:r>
    </w:p>
    <w:p w:rsidR="005920EE" w:rsidRDefault="003A7FE2" w:rsidP="00F80244">
      <w:pPr>
        <w:numPr>
          <w:ilvl w:val="0"/>
          <w:numId w:val="10"/>
        </w:numPr>
        <w:ind w:right="41" w:hanging="360"/>
      </w:pPr>
      <w:r>
        <w:t xml:space="preserve">montaż elementów prefabrykowanych lub urządzeń w miejscu ich wbudowania, </w:t>
      </w:r>
    </w:p>
    <w:p w:rsidR="005920EE" w:rsidRDefault="003A7FE2" w:rsidP="00F80244">
      <w:pPr>
        <w:numPr>
          <w:ilvl w:val="0"/>
          <w:numId w:val="10"/>
        </w:numPr>
        <w:ind w:right="41" w:hanging="360"/>
      </w:pPr>
      <w:r>
        <w:t xml:space="preserve">zakup i zastosowanie niezbędnych materiałów pomocniczych, </w:t>
      </w:r>
    </w:p>
    <w:p w:rsidR="005920EE" w:rsidRDefault="003A7FE2" w:rsidP="00F80244">
      <w:pPr>
        <w:numPr>
          <w:ilvl w:val="0"/>
          <w:numId w:val="10"/>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1"/>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rsidP="00F80244">
      <w:pPr>
        <w:numPr>
          <w:ilvl w:val="0"/>
          <w:numId w:val="11"/>
        </w:numPr>
        <w:ind w:right="41" w:hanging="218"/>
      </w:pPr>
      <w:r>
        <w:t xml:space="preserve">PN-EN 197- Cement. Część 1: Skład, wymagania i kryteria zgodności dotyczące cementu powszechnego użytku 1:2002  </w:t>
      </w:r>
    </w:p>
    <w:p w:rsidR="005920EE" w:rsidRDefault="003A7FE2" w:rsidP="00F80244">
      <w:pPr>
        <w:numPr>
          <w:ilvl w:val="0"/>
          <w:numId w:val="11"/>
        </w:numPr>
        <w:ind w:right="41" w:hanging="218"/>
      </w:pPr>
      <w:r>
        <w:t xml:space="preserve">PN-EN 206- Beton. Część 1: Wymagania, właściwości, produkcja i zgodność  </w:t>
      </w:r>
    </w:p>
    <w:p w:rsidR="005920EE" w:rsidRDefault="003A7FE2" w:rsidP="00F80244">
      <w:pPr>
        <w:numPr>
          <w:ilvl w:val="0"/>
          <w:numId w:val="11"/>
        </w:numPr>
        <w:ind w:right="41" w:hanging="218"/>
      </w:pPr>
      <w:r>
        <w:t xml:space="preserve">PN-EN Stopnie do studzienek włazowych. Wymagania, znakowania, badania i ocena  zgodności 13101:2002   </w:t>
      </w:r>
    </w:p>
    <w:p w:rsidR="005920EE" w:rsidRDefault="003A7FE2" w:rsidP="00F80244">
      <w:pPr>
        <w:numPr>
          <w:ilvl w:val="0"/>
          <w:numId w:val="11"/>
        </w:numPr>
        <w:ind w:right="41" w:hanging="218"/>
      </w:pPr>
      <w:r>
        <w:t xml:space="preserve">PN-EN 206-1 Beton. Część1. Wymagania, właściwości, produkcja i zgodność   </w:t>
      </w:r>
    </w:p>
    <w:p w:rsidR="005920EE" w:rsidRDefault="003A7FE2" w:rsidP="00F80244">
      <w:pPr>
        <w:numPr>
          <w:ilvl w:val="0"/>
          <w:numId w:val="11"/>
        </w:numPr>
        <w:ind w:right="41" w:hanging="218"/>
      </w:pPr>
      <w:r>
        <w:t xml:space="preserve">PN-B -06712:1986 Kruszywa mineralne do betonu  </w:t>
      </w:r>
    </w:p>
    <w:p w:rsidR="005920EE" w:rsidRDefault="003A7FE2" w:rsidP="00F80244">
      <w:pPr>
        <w:numPr>
          <w:ilvl w:val="0"/>
          <w:numId w:val="11"/>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rsidP="00F80244">
      <w:pPr>
        <w:numPr>
          <w:ilvl w:val="0"/>
          <w:numId w:val="12"/>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rsidP="00F80244">
      <w:pPr>
        <w:numPr>
          <w:ilvl w:val="0"/>
          <w:numId w:val="12"/>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w:t>
      </w:r>
      <w:r w:rsidR="00C225D5">
        <w:t xml:space="preserve">niewysadzinowego: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w:t>
      </w:r>
      <w:r w:rsidR="00C225D5">
        <w:t>stan i</w:t>
      </w:r>
      <w:r>
        <w:t xml:space="preserve">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rsidP="00F80244">
      <w:pPr>
        <w:numPr>
          <w:ilvl w:val="0"/>
          <w:numId w:val="13"/>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rsidP="00F80244">
      <w:pPr>
        <w:numPr>
          <w:ilvl w:val="0"/>
          <w:numId w:val="13"/>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lastRenderedPageBreak/>
        <w:t xml:space="preserve">  </w:t>
      </w:r>
    </w:p>
    <w:p w:rsidR="005920EE" w:rsidRDefault="003A7FE2">
      <w:pPr>
        <w:spacing w:after="0" w:line="259" w:lineRule="auto"/>
        <w:ind w:left="0" w:firstLine="0"/>
        <w:jc w:val="left"/>
      </w:pPr>
      <w:r>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lastRenderedPageBreak/>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6"/>
              </w:numPr>
              <w:spacing w:after="0" w:line="216" w:lineRule="auto"/>
              <w:ind w:right="4410" w:firstLine="0"/>
              <w:jc w:val="left"/>
            </w:pPr>
            <w:r>
              <w:rPr>
                <w:sz w:val="20"/>
              </w:rPr>
              <w:t xml:space="preserve"> - Wymagania dotyczące emulsji asfaltowych do ZM nie dotyczą emulsji poddanych na budowie rozcieńczeniu przed wbudowaniem, </w:t>
            </w:r>
          </w:p>
          <w:p w:rsidR="005920EE" w:rsidRDefault="003A7FE2" w:rsidP="00F80244">
            <w:pPr>
              <w:numPr>
                <w:ilvl w:val="0"/>
                <w:numId w:val="36"/>
              </w:numPr>
              <w:spacing w:after="0" w:line="216" w:lineRule="auto"/>
              <w:ind w:right="4410" w:firstLine="0"/>
              <w:jc w:val="left"/>
            </w:pPr>
            <w:r>
              <w:rPr>
                <w:sz w:val="20"/>
              </w:rPr>
              <w:t xml:space="preserve"> - Właściwości nie wymienione w załączniku określone są jako NPD (0), </w:t>
            </w:r>
          </w:p>
          <w:p w:rsidR="005920EE" w:rsidRDefault="003A7FE2" w:rsidP="00F80244">
            <w:pPr>
              <w:numPr>
                <w:ilvl w:val="0"/>
                <w:numId w:val="36"/>
              </w:numPr>
              <w:spacing w:after="0" w:line="216" w:lineRule="auto"/>
              <w:ind w:right="4410" w:firstLine="0"/>
              <w:jc w:val="left"/>
            </w:pPr>
            <w:r>
              <w:rPr>
                <w:sz w:val="20"/>
              </w:rPr>
              <w:t xml:space="preserve"> - Badanie na wypełniaczu mineralnym Sikaisol, </w:t>
            </w:r>
          </w:p>
          <w:p w:rsidR="005920EE" w:rsidRDefault="003A7FE2" w:rsidP="00F80244">
            <w:pPr>
              <w:numPr>
                <w:ilvl w:val="0"/>
                <w:numId w:val="36"/>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lastRenderedPageBreak/>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rsidP="00F80244">
      <w:pPr>
        <w:numPr>
          <w:ilvl w:val="0"/>
          <w:numId w:val="14"/>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rsidP="00F80244">
      <w:pPr>
        <w:numPr>
          <w:ilvl w:val="0"/>
          <w:numId w:val="14"/>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lastRenderedPageBreak/>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rsidP="00F80244">
      <w:pPr>
        <w:numPr>
          <w:ilvl w:val="0"/>
          <w:numId w:val="15"/>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rsidP="00F80244">
      <w:pPr>
        <w:numPr>
          <w:ilvl w:val="0"/>
          <w:numId w:val="15"/>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6"/>
        </w:numPr>
        <w:spacing w:after="63"/>
        <w:ind w:right="41" w:hanging="425"/>
      </w:pPr>
      <w:r>
        <w:lastRenderedPageBreak/>
        <w:t xml:space="preserve">PN-EN 1426:2001 </w:t>
      </w:r>
      <w:r>
        <w:tab/>
        <w:t xml:space="preserve">Przetwory naftowe. Pomiar penetracji asfaltów </w:t>
      </w:r>
    </w:p>
    <w:p w:rsidR="005920EE" w:rsidRDefault="003A7FE2" w:rsidP="00F80244">
      <w:pPr>
        <w:numPr>
          <w:ilvl w:val="0"/>
          <w:numId w:val="16"/>
        </w:numPr>
        <w:spacing w:after="60"/>
        <w:ind w:right="41" w:hanging="425"/>
      </w:pPr>
      <w:r>
        <w:t xml:space="preserve">PN-EN 12591:2004 </w:t>
      </w:r>
      <w:r>
        <w:tab/>
        <w:t xml:space="preserve">Przetwory naftowe. Asfalty drogowe </w:t>
      </w:r>
    </w:p>
    <w:p w:rsidR="005920EE" w:rsidRDefault="003A7FE2" w:rsidP="00F80244">
      <w:pPr>
        <w:numPr>
          <w:ilvl w:val="0"/>
          <w:numId w:val="16"/>
        </w:numPr>
        <w:spacing w:after="40"/>
        <w:ind w:right="41" w:hanging="425"/>
      </w:pPr>
      <w:r>
        <w:t xml:space="preserve">PN-C-96173 </w:t>
      </w:r>
      <w:r>
        <w:tab/>
        <w:t xml:space="preserve">Przetwory naftowe. Asfalty upłynnione AUN do nawierzchni drogowych </w:t>
      </w:r>
    </w:p>
    <w:p w:rsidR="005920EE" w:rsidRDefault="003A7FE2" w:rsidP="00F80244">
      <w:pPr>
        <w:numPr>
          <w:ilvl w:val="0"/>
          <w:numId w:val="17"/>
        </w:numPr>
        <w:spacing w:after="63"/>
        <w:ind w:right="41" w:hanging="2834"/>
      </w:pPr>
      <w:r>
        <w:t xml:space="preserve">PN-EN 12271-1 </w:t>
      </w:r>
      <w:r>
        <w:tab/>
        <w:t xml:space="preserve">Powierzchniowe utrwalanie. Metody badań </w:t>
      </w:r>
    </w:p>
    <w:p w:rsidR="005920EE" w:rsidRDefault="003A7FE2" w:rsidP="00F80244">
      <w:pPr>
        <w:numPr>
          <w:ilvl w:val="0"/>
          <w:numId w:val="17"/>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rsidP="00F80244">
      <w:pPr>
        <w:numPr>
          <w:ilvl w:val="0"/>
          <w:numId w:val="17"/>
        </w:numPr>
        <w:spacing w:after="60"/>
        <w:ind w:right="41" w:hanging="2834"/>
      </w:pPr>
      <w:r>
        <w:t xml:space="preserve">PN-B-24003:1997 </w:t>
      </w:r>
      <w:r>
        <w:tab/>
        <w:t xml:space="preserve">Asfaltowa emulsja kationowa </w:t>
      </w:r>
    </w:p>
    <w:p w:rsidR="005920EE" w:rsidRDefault="003A7FE2" w:rsidP="00F80244">
      <w:pPr>
        <w:numPr>
          <w:ilvl w:val="0"/>
          <w:numId w:val="17"/>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lastRenderedPageBreak/>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rsidP="00F80244">
      <w:pPr>
        <w:numPr>
          <w:ilvl w:val="0"/>
          <w:numId w:val="18"/>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rsidP="00F80244">
      <w:pPr>
        <w:numPr>
          <w:ilvl w:val="0"/>
          <w:numId w:val="1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rsidP="00F80244">
      <w:pPr>
        <w:numPr>
          <w:ilvl w:val="0"/>
          <w:numId w:val="19"/>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rsidP="00F80244">
      <w:pPr>
        <w:numPr>
          <w:ilvl w:val="0"/>
          <w:numId w:val="19"/>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rsidP="00F80244">
      <w:pPr>
        <w:numPr>
          <w:ilvl w:val="0"/>
          <w:numId w:val="20"/>
        </w:numPr>
        <w:spacing w:after="206" w:line="270" w:lineRule="auto"/>
        <w:ind w:right="31" w:hanging="638"/>
      </w:pPr>
      <w:r>
        <w:rPr>
          <w:sz w:val="20"/>
        </w:rPr>
        <w:t xml:space="preserve">PN-EN 13285 </w:t>
      </w:r>
      <w:r>
        <w:rPr>
          <w:sz w:val="20"/>
        </w:rPr>
        <w:tab/>
        <w:t xml:space="preserve">Mieszanki niezwiązane – Specyfikacja </w:t>
      </w:r>
    </w:p>
    <w:p w:rsidR="005920EE" w:rsidRDefault="003A7FE2" w:rsidP="00F80244">
      <w:pPr>
        <w:numPr>
          <w:ilvl w:val="0"/>
          <w:numId w:val="20"/>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rsidP="00F80244">
      <w:pPr>
        <w:numPr>
          <w:ilvl w:val="0"/>
          <w:numId w:val="20"/>
        </w:numPr>
        <w:spacing w:after="206" w:line="270" w:lineRule="auto"/>
        <w:ind w:right="31" w:hanging="638"/>
      </w:pPr>
      <w:r>
        <w:rPr>
          <w:sz w:val="20"/>
        </w:rPr>
        <w:t xml:space="preserve">PN-EN 932-5 Badania podstawowych właściwości kruszyw - Część 5: Wyposażenie podstawowe i wzorcowanie </w:t>
      </w:r>
    </w:p>
    <w:p w:rsidR="005920EE" w:rsidRDefault="003A7FE2" w:rsidP="00F80244">
      <w:pPr>
        <w:numPr>
          <w:ilvl w:val="0"/>
          <w:numId w:val="20"/>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rsidP="00F80244">
      <w:pPr>
        <w:numPr>
          <w:ilvl w:val="0"/>
          <w:numId w:val="20"/>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rsidP="00F80244">
      <w:pPr>
        <w:numPr>
          <w:ilvl w:val="0"/>
          <w:numId w:val="20"/>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rsidP="00F80244">
      <w:pPr>
        <w:numPr>
          <w:ilvl w:val="0"/>
          <w:numId w:val="20"/>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rsidP="00F80244">
      <w:pPr>
        <w:numPr>
          <w:ilvl w:val="0"/>
          <w:numId w:val="20"/>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rsidP="00F80244">
      <w:pPr>
        <w:numPr>
          <w:ilvl w:val="0"/>
          <w:numId w:val="20"/>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rsidP="00F80244">
      <w:pPr>
        <w:numPr>
          <w:ilvl w:val="0"/>
          <w:numId w:val="20"/>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rsidP="00F80244">
      <w:pPr>
        <w:numPr>
          <w:ilvl w:val="0"/>
          <w:numId w:val="20"/>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rsidP="00F80244">
      <w:pPr>
        <w:numPr>
          <w:ilvl w:val="0"/>
          <w:numId w:val="20"/>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rsidP="00F80244">
      <w:pPr>
        <w:numPr>
          <w:ilvl w:val="0"/>
          <w:numId w:val="20"/>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rsidP="00F80244">
      <w:pPr>
        <w:numPr>
          <w:ilvl w:val="0"/>
          <w:numId w:val="20"/>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rsidP="00F80244">
      <w:pPr>
        <w:numPr>
          <w:ilvl w:val="0"/>
          <w:numId w:val="20"/>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rsidP="00F80244">
      <w:pPr>
        <w:numPr>
          <w:ilvl w:val="0"/>
          <w:numId w:val="20"/>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rsidP="00F80244">
      <w:pPr>
        <w:numPr>
          <w:ilvl w:val="0"/>
          <w:numId w:val="20"/>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rsidP="00F80244">
      <w:pPr>
        <w:numPr>
          <w:ilvl w:val="0"/>
          <w:numId w:val="21"/>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rsidP="00F80244">
      <w:pPr>
        <w:numPr>
          <w:ilvl w:val="0"/>
          <w:numId w:val="21"/>
        </w:numPr>
        <w:spacing w:after="206" w:line="270" w:lineRule="auto"/>
        <w:ind w:right="31" w:firstLine="0"/>
      </w:pPr>
      <w:r>
        <w:rPr>
          <w:sz w:val="20"/>
        </w:rPr>
        <w:t xml:space="preserve">Mieszanki niezwiązane do dróg krajowych WT- 4. Wymagania techniczne. </w:t>
      </w:r>
    </w:p>
    <w:p w:rsidR="005920EE" w:rsidRDefault="003A7FE2" w:rsidP="00F80244">
      <w:pPr>
        <w:numPr>
          <w:ilvl w:val="0"/>
          <w:numId w:val="21"/>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rsidP="00F80244">
      <w:pPr>
        <w:numPr>
          <w:ilvl w:val="0"/>
          <w:numId w:val="22"/>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rsidP="00F80244">
      <w:pPr>
        <w:numPr>
          <w:ilvl w:val="0"/>
          <w:numId w:val="22"/>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rsidP="00F80244">
      <w:pPr>
        <w:numPr>
          <w:ilvl w:val="0"/>
          <w:numId w:val="22"/>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rsidP="00F80244">
      <w:pPr>
        <w:numPr>
          <w:ilvl w:val="0"/>
          <w:numId w:val="23"/>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rsidP="00F80244">
      <w:pPr>
        <w:numPr>
          <w:ilvl w:val="0"/>
          <w:numId w:val="24"/>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rsidP="00F80244">
      <w:pPr>
        <w:numPr>
          <w:ilvl w:val="0"/>
          <w:numId w:val="25"/>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rsidP="00F80244">
      <w:pPr>
        <w:numPr>
          <w:ilvl w:val="0"/>
          <w:numId w:val="25"/>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lastRenderedPageBreak/>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lastRenderedPageBreak/>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lastRenderedPageBreak/>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w:t>
      </w:r>
      <w:r>
        <w:lastRenderedPageBreak/>
        <w:t xml:space="preserve">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 xml:space="preserve">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w:t>
      </w:r>
      <w:r>
        <w:lastRenderedPageBreak/>
        <w:t>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lastRenderedPageBreak/>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lastRenderedPageBreak/>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rsidP="00F80244">
      <w:pPr>
        <w:numPr>
          <w:ilvl w:val="0"/>
          <w:numId w:val="26"/>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rsidP="00F80244">
      <w:pPr>
        <w:numPr>
          <w:ilvl w:val="0"/>
          <w:numId w:val="26"/>
        </w:numPr>
        <w:spacing w:after="69"/>
        <w:ind w:right="41" w:hanging="360"/>
      </w:pPr>
      <w:r>
        <w:lastRenderedPageBreak/>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lastRenderedPageBreak/>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rsidP="00F80244">
      <w:pPr>
        <w:numPr>
          <w:ilvl w:val="0"/>
          <w:numId w:val="27"/>
        </w:numPr>
        <w:ind w:right="41" w:hanging="432"/>
      </w:pP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lastRenderedPageBreak/>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7"/>
              </w:numPr>
              <w:spacing w:after="15" w:line="259" w:lineRule="auto"/>
              <w:ind w:right="2"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Uziarnienie </w:t>
            </w:r>
          </w:p>
          <w:p w:rsidR="005920EE" w:rsidRDefault="003A7FE2" w:rsidP="00F80244">
            <w:pPr>
              <w:numPr>
                <w:ilvl w:val="1"/>
                <w:numId w:val="37"/>
              </w:numPr>
              <w:spacing w:after="0" w:line="259" w:lineRule="auto"/>
              <w:ind w:right="1" w:hanging="348"/>
              <w:jc w:val="center"/>
            </w:pPr>
            <w:r>
              <w:rPr>
                <w:sz w:val="20"/>
              </w:rPr>
              <w:t xml:space="preserve">Zawartość lepiszcza  </w:t>
            </w:r>
          </w:p>
          <w:p w:rsidR="005920EE" w:rsidRDefault="003A7FE2" w:rsidP="00F80244">
            <w:pPr>
              <w:numPr>
                <w:ilvl w:val="1"/>
                <w:numId w:val="37"/>
              </w:numPr>
              <w:spacing w:after="0" w:line="259" w:lineRule="auto"/>
              <w:ind w:right="1" w:hanging="348"/>
              <w:jc w:val="center"/>
            </w:pPr>
            <w:r>
              <w:rPr>
                <w:sz w:val="20"/>
              </w:rPr>
              <w:t xml:space="preserve">Temp. mięknięcia lepiszcza odzyskanego </w:t>
            </w:r>
          </w:p>
          <w:p w:rsidR="005920EE" w:rsidRDefault="003A7FE2" w:rsidP="00F80244">
            <w:pPr>
              <w:numPr>
                <w:ilvl w:val="1"/>
                <w:numId w:val="37"/>
              </w:numPr>
              <w:spacing w:after="0" w:line="259" w:lineRule="auto"/>
              <w:ind w:right="1" w:hanging="348"/>
              <w:jc w:val="center"/>
            </w:pPr>
            <w:r>
              <w:rPr>
                <w:sz w:val="20"/>
              </w:rPr>
              <w:t xml:space="preserve">Gęstość i zawartość wolnych przestrzeni próbki </w:t>
            </w:r>
          </w:p>
          <w:p w:rsidR="005920EE" w:rsidRDefault="003A7FE2" w:rsidP="00F80244">
            <w:pPr>
              <w:numPr>
                <w:ilvl w:val="0"/>
                <w:numId w:val="37"/>
              </w:numPr>
              <w:spacing w:after="0" w:line="259" w:lineRule="auto"/>
              <w:ind w:right="2" w:hanging="197"/>
              <w:jc w:val="center"/>
            </w:pPr>
            <w:r>
              <w:rPr>
                <w:sz w:val="20"/>
              </w:rPr>
              <w:t xml:space="preserve">Warstwa asfaltowa </w:t>
            </w:r>
          </w:p>
          <w:p w:rsidR="005920EE" w:rsidRDefault="003A7FE2" w:rsidP="00F80244">
            <w:pPr>
              <w:numPr>
                <w:ilvl w:val="1"/>
                <w:numId w:val="37"/>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Spadki poprzeczne </w:t>
            </w:r>
          </w:p>
          <w:p w:rsidR="005920EE" w:rsidRDefault="003A7FE2" w:rsidP="00F80244">
            <w:pPr>
              <w:numPr>
                <w:ilvl w:val="1"/>
                <w:numId w:val="37"/>
              </w:numPr>
              <w:spacing w:after="0" w:line="259" w:lineRule="auto"/>
              <w:ind w:right="1" w:hanging="348"/>
              <w:jc w:val="center"/>
            </w:pPr>
            <w:r>
              <w:rPr>
                <w:sz w:val="20"/>
              </w:rPr>
              <w:t xml:space="preserve">Równość </w:t>
            </w:r>
          </w:p>
          <w:p w:rsidR="005920EE" w:rsidRDefault="003A7FE2" w:rsidP="00F80244">
            <w:pPr>
              <w:numPr>
                <w:ilvl w:val="1"/>
                <w:numId w:val="37"/>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rsidP="00F80244">
            <w:pPr>
              <w:numPr>
                <w:ilvl w:val="1"/>
                <w:numId w:val="37"/>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lastRenderedPageBreak/>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w:t>
      </w:r>
      <w:r>
        <w:lastRenderedPageBreak/>
        <w:t xml:space="preserve">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rsidP="00F80244">
      <w:pPr>
        <w:numPr>
          <w:ilvl w:val="0"/>
          <w:numId w:val="28"/>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lastRenderedPageBreak/>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29"/>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29"/>
        </w:numPr>
        <w:ind w:right="41" w:hanging="478"/>
      </w:pPr>
      <w:r>
        <w:t xml:space="preserve">PN-EN 933-4  Badania geometrycznych właściwości kruszyw – Część 4: Oznaczanie kształtu ziarn – Wskaźnik kształtu. </w:t>
      </w:r>
    </w:p>
    <w:p w:rsidR="005920EE" w:rsidRDefault="003A7FE2" w:rsidP="00F80244">
      <w:pPr>
        <w:numPr>
          <w:ilvl w:val="0"/>
          <w:numId w:val="29"/>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29"/>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29"/>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29"/>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29"/>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29"/>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29"/>
        </w:numPr>
        <w:spacing w:after="46"/>
        <w:ind w:right="41" w:hanging="478"/>
      </w:pPr>
      <w:r>
        <w:lastRenderedPageBreak/>
        <w:t xml:space="preserve">PN-EN 1744-1 Badania chemicznych właściwości kruszyw – Analiza chemiczna. </w:t>
      </w:r>
    </w:p>
    <w:p w:rsidR="005920EE" w:rsidRDefault="003A7FE2" w:rsidP="00F80244">
      <w:pPr>
        <w:numPr>
          <w:ilvl w:val="0"/>
          <w:numId w:val="29"/>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29"/>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29"/>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29"/>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29"/>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rsidP="00F80244">
      <w:pPr>
        <w:numPr>
          <w:ilvl w:val="0"/>
          <w:numId w:val="29"/>
        </w:numPr>
        <w:spacing w:after="48"/>
        <w:ind w:right="41" w:hanging="478"/>
      </w:pPr>
      <w:r>
        <w:t xml:space="preserve">PN-EN 13108-1   Beton asfaltowy. </w:t>
      </w:r>
    </w:p>
    <w:p w:rsidR="005920EE" w:rsidRDefault="003A7FE2" w:rsidP="00F80244">
      <w:pPr>
        <w:numPr>
          <w:ilvl w:val="0"/>
          <w:numId w:val="29"/>
        </w:numPr>
        <w:spacing w:after="46"/>
        <w:ind w:right="41" w:hanging="478"/>
      </w:pPr>
      <w:r>
        <w:t xml:space="preserve">PN-EN 13108-20 Badanie typu. </w:t>
      </w:r>
    </w:p>
    <w:p w:rsidR="005920EE" w:rsidRDefault="003A7FE2" w:rsidP="00F80244">
      <w:pPr>
        <w:numPr>
          <w:ilvl w:val="0"/>
          <w:numId w:val="29"/>
        </w:numPr>
        <w:spacing w:after="46"/>
        <w:ind w:right="41" w:hanging="478"/>
      </w:pPr>
      <w:r>
        <w:t xml:space="preserve">PN-EN 13108-21 Zakładowa kontrola produkcji. </w:t>
      </w:r>
    </w:p>
    <w:p w:rsidR="005920EE" w:rsidRDefault="003A7FE2" w:rsidP="00F80244">
      <w:pPr>
        <w:numPr>
          <w:ilvl w:val="0"/>
          <w:numId w:val="29"/>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29"/>
        </w:numPr>
        <w:spacing w:after="46"/>
        <w:ind w:right="41" w:hanging="478"/>
      </w:pPr>
      <w:r>
        <w:t xml:space="preserve">PN-EN 12697-22 Metody badań mieszanek mineralno-bitumicznych na gorąco. </w:t>
      </w:r>
    </w:p>
    <w:p w:rsidR="005920EE" w:rsidRDefault="003A7FE2">
      <w:pPr>
        <w:spacing w:after="48"/>
        <w:ind w:left="-5" w:right="41"/>
      </w:pPr>
      <w:r>
        <w:t xml:space="preserve">                                      Koleinowanie. </w:t>
      </w:r>
    </w:p>
    <w:p w:rsidR="005920EE" w:rsidRDefault="003A7FE2" w:rsidP="00F80244">
      <w:pPr>
        <w:numPr>
          <w:ilvl w:val="0"/>
          <w:numId w:val="29"/>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rsidP="00F80244">
      <w:pPr>
        <w:numPr>
          <w:ilvl w:val="0"/>
          <w:numId w:val="29"/>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rsidP="00F80244">
      <w:pPr>
        <w:numPr>
          <w:ilvl w:val="0"/>
          <w:numId w:val="29"/>
        </w:numPr>
        <w:spacing w:after="48"/>
        <w:ind w:right="41" w:hanging="478"/>
      </w:pPr>
      <w:r>
        <w:t xml:space="preserve">PN-EN 12591 Asfalty i produkty asfaltowe. Wymagania dla asfaltów drogowych </w:t>
      </w:r>
    </w:p>
    <w:p w:rsidR="005920EE" w:rsidRDefault="003A7FE2" w:rsidP="00F80244">
      <w:pPr>
        <w:numPr>
          <w:ilvl w:val="0"/>
          <w:numId w:val="29"/>
        </w:numPr>
        <w:spacing w:after="45"/>
        <w:ind w:right="41" w:hanging="478"/>
      </w:pPr>
      <w:r>
        <w:t xml:space="preserve">PN-EN-14023  Asfalty i lepiszcza asfaltowe - Zasady specyfikacji dla asfaltów modyfikowanych polimerami </w:t>
      </w:r>
    </w:p>
    <w:p w:rsidR="005920EE" w:rsidRDefault="003A7FE2" w:rsidP="00F80244">
      <w:pPr>
        <w:numPr>
          <w:ilvl w:val="0"/>
          <w:numId w:val="29"/>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rsidP="00F80244">
      <w:pPr>
        <w:numPr>
          <w:ilvl w:val="0"/>
          <w:numId w:val="30"/>
        </w:numPr>
        <w:spacing w:after="43"/>
        <w:ind w:right="41" w:hanging="461"/>
      </w:pPr>
      <w:r>
        <w:t xml:space="preserve">Rozporządzenie MTiGM z dn. 02.03.1999 w sprawie warunków technicznych, jakim powinny odpowiadać drogi publiczne i ich usytuowanie.( Dz.U. Nr 43) </w:t>
      </w:r>
    </w:p>
    <w:p w:rsidR="005920EE" w:rsidRDefault="003A7FE2" w:rsidP="00F80244">
      <w:pPr>
        <w:numPr>
          <w:ilvl w:val="0"/>
          <w:numId w:val="30"/>
        </w:numPr>
        <w:spacing w:after="43"/>
        <w:ind w:right="41" w:hanging="461"/>
      </w:pPr>
      <w:r>
        <w:t xml:space="preserve">„Kruszywa do mieszanek mineralno-asfaltowych i powierzchniowych   utrwaleń na drogach krajowych”, WT-1 Kruszywa 2010. Wymagania Techniczne </w:t>
      </w:r>
    </w:p>
    <w:p w:rsidR="005920EE" w:rsidRDefault="003A7FE2" w:rsidP="00F80244">
      <w:pPr>
        <w:numPr>
          <w:ilvl w:val="0"/>
          <w:numId w:val="30"/>
        </w:numPr>
        <w:spacing w:after="43"/>
        <w:ind w:right="41" w:hanging="461"/>
      </w:pPr>
      <w:r>
        <w:t xml:space="preserve">Wymagania Techniczne „Nawierzchnie asfaltowe na drogach publicznych”, WT-2 Nawierzchnie asfaltowe 2008, Warszawa 2008 </w:t>
      </w:r>
    </w:p>
    <w:p w:rsidR="005920EE" w:rsidRDefault="003A7FE2" w:rsidP="00F80244">
      <w:pPr>
        <w:numPr>
          <w:ilvl w:val="0"/>
          <w:numId w:val="30"/>
        </w:numPr>
        <w:spacing w:after="43"/>
        <w:ind w:right="41" w:hanging="461"/>
      </w:pPr>
      <w:r>
        <w:t xml:space="preserve">Wymagania Techniczne „Kationowe emulsje asfaltowe na drogach publicznych”, WT-3 Emulsje asfaltowe 2009, Warszawa 2009 </w:t>
      </w:r>
    </w:p>
    <w:p w:rsidR="005920EE" w:rsidRDefault="003A7FE2" w:rsidP="00F80244">
      <w:pPr>
        <w:numPr>
          <w:ilvl w:val="0"/>
          <w:numId w:val="30"/>
        </w:numPr>
        <w:spacing w:after="43"/>
        <w:ind w:right="41" w:hanging="461"/>
      </w:pPr>
      <w:r>
        <w:lastRenderedPageBreak/>
        <w:t xml:space="preserve">Zasady wykonywania nawierzchni asfaltowej o zwiększonej odporności na koleinowanie i  zmęczenie (ZW-WMS 2007), Warszawa 2007 </w:t>
      </w:r>
    </w:p>
    <w:p w:rsidR="005920EE" w:rsidRDefault="003A7FE2" w:rsidP="00F80244">
      <w:pPr>
        <w:numPr>
          <w:ilvl w:val="0"/>
          <w:numId w:val="30"/>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lastRenderedPageBreak/>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Do uszczelniania złączy podłużnych i poprzecznych oraz spoin krawężników, kostek, studni, zaworów i innych urządzeń w jezdni z AC stosować termoplastyczne taśmy kauczukowo-asfaltowe spełniające wymagania polskich norm lub aprobat technicznych. Do uszczelniania 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lastRenderedPageBreak/>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w:t>
      </w:r>
      <w:r>
        <w:lastRenderedPageBreak/>
        <w:t xml:space="preserve">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lastRenderedPageBreak/>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rsidP="00F80244">
      <w:pPr>
        <w:numPr>
          <w:ilvl w:val="0"/>
          <w:numId w:val="31"/>
        </w:numPr>
        <w:spacing w:after="262"/>
        <w:ind w:right="41" w:hanging="708"/>
      </w:pPr>
      <w:r>
        <w:t>50/70 140</w:t>
      </w:r>
      <w:r>
        <w:rPr>
          <w:vertAlign w:val="superscript"/>
        </w:rPr>
        <w:t>o</w:t>
      </w:r>
      <w:r>
        <w:t>C±5</w:t>
      </w:r>
      <w:r>
        <w:rPr>
          <w:vertAlign w:val="superscript"/>
        </w:rPr>
        <w:t>o</w:t>
      </w:r>
      <w:r>
        <w:t xml:space="preserve">C, </w:t>
      </w:r>
    </w:p>
    <w:p w:rsidR="005920EE" w:rsidRDefault="003A7FE2" w:rsidP="00F80244">
      <w:pPr>
        <w:numPr>
          <w:ilvl w:val="0"/>
          <w:numId w:val="31"/>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lastRenderedPageBreak/>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w:t>
      </w:r>
      <w:r>
        <w:lastRenderedPageBreak/>
        <w:t xml:space="preserve">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w:t>
      </w:r>
      <w:r>
        <w:lastRenderedPageBreak/>
        <w:t xml:space="preserve">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lastRenderedPageBreak/>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lastRenderedPageBreak/>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lastRenderedPageBreak/>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rsidP="00F80244">
      <w:pPr>
        <w:numPr>
          <w:ilvl w:val="0"/>
          <w:numId w:val="3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lastRenderedPageBreak/>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34"/>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34"/>
        </w:numPr>
        <w:ind w:right="41" w:hanging="478"/>
      </w:pPr>
      <w:r>
        <w:t xml:space="preserve">PN-EN 933-4  Badania geometrycznych właściwości kruszyw – Część 4: Oznaczanie kształtu ziarn – Wskaźnik kształtu. </w:t>
      </w:r>
    </w:p>
    <w:p w:rsidR="005920EE" w:rsidRDefault="003A7FE2" w:rsidP="00F80244">
      <w:pPr>
        <w:numPr>
          <w:ilvl w:val="0"/>
          <w:numId w:val="34"/>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34"/>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34"/>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34"/>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34"/>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34"/>
        </w:numPr>
        <w:spacing w:after="45"/>
        <w:ind w:right="41" w:hanging="478"/>
      </w:pPr>
      <w:r>
        <w:lastRenderedPageBreak/>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34"/>
        </w:numPr>
        <w:spacing w:after="46"/>
        <w:ind w:right="41" w:hanging="478"/>
      </w:pPr>
      <w:r>
        <w:t xml:space="preserve">PN-EN 1744-1 Badania chemicznych właściwości kruszyw – Analiza chemiczna. </w:t>
      </w:r>
    </w:p>
    <w:p w:rsidR="005920EE" w:rsidRDefault="003A7FE2" w:rsidP="00F80244">
      <w:pPr>
        <w:numPr>
          <w:ilvl w:val="0"/>
          <w:numId w:val="34"/>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34"/>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34"/>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34"/>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34"/>
        </w:numPr>
        <w:spacing w:after="46"/>
        <w:ind w:right="41" w:hanging="478"/>
      </w:pPr>
      <w:r>
        <w:t xml:space="preserve">PN-EN 13108-1   Beton asfaltowy. </w:t>
      </w:r>
    </w:p>
    <w:p w:rsidR="005920EE" w:rsidRDefault="003A7FE2" w:rsidP="00F80244">
      <w:pPr>
        <w:numPr>
          <w:ilvl w:val="0"/>
          <w:numId w:val="34"/>
        </w:numPr>
        <w:spacing w:after="48"/>
        <w:ind w:right="41" w:hanging="478"/>
      </w:pPr>
      <w:r>
        <w:t xml:space="preserve">PN-EN 13108-20 Badanie typu. </w:t>
      </w:r>
    </w:p>
    <w:p w:rsidR="005920EE" w:rsidRDefault="003A7FE2" w:rsidP="00F80244">
      <w:pPr>
        <w:numPr>
          <w:ilvl w:val="0"/>
          <w:numId w:val="34"/>
        </w:numPr>
        <w:spacing w:after="46"/>
        <w:ind w:right="41" w:hanging="478"/>
      </w:pPr>
      <w:r>
        <w:t xml:space="preserve">PN-EN 13108-21 Zakładowa kontrola produkcji. </w:t>
      </w:r>
    </w:p>
    <w:p w:rsidR="005920EE" w:rsidRDefault="003A7FE2" w:rsidP="00F80244">
      <w:pPr>
        <w:numPr>
          <w:ilvl w:val="0"/>
          <w:numId w:val="34"/>
        </w:numPr>
        <w:spacing w:after="43"/>
        <w:ind w:right="41" w:hanging="478"/>
      </w:pPr>
      <w:r>
        <w:t xml:space="preserve">PN-EN 12697-8 Metody badań mieszanek mineralno-bitumicznych na gorąco. Oznaczenie zawartości wolnej przestrzeni. </w:t>
      </w:r>
    </w:p>
    <w:p w:rsidR="005920EE" w:rsidRDefault="003A7FE2" w:rsidP="00F80244">
      <w:pPr>
        <w:numPr>
          <w:ilvl w:val="0"/>
          <w:numId w:val="34"/>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34"/>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rsidP="00F80244">
      <w:pPr>
        <w:numPr>
          <w:ilvl w:val="0"/>
          <w:numId w:val="35"/>
        </w:numPr>
        <w:spacing w:after="45"/>
        <w:ind w:right="41" w:hanging="454"/>
      </w:pPr>
      <w:r>
        <w:t xml:space="preserve">Nawierzchnie asfaltowe na drogach krajowych. WT-2 2010. Mieszanki asfaltowe. Wymagania techniczne. </w:t>
      </w:r>
    </w:p>
    <w:p w:rsidR="005920EE" w:rsidRDefault="003A7FE2" w:rsidP="00F80244">
      <w:pPr>
        <w:numPr>
          <w:ilvl w:val="0"/>
          <w:numId w:val="35"/>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rsidP="00F80244">
      <w:pPr>
        <w:numPr>
          <w:ilvl w:val="0"/>
          <w:numId w:val="35"/>
        </w:numPr>
        <w:spacing w:after="43"/>
        <w:ind w:right="41" w:hanging="454"/>
      </w:pPr>
      <w:r>
        <w:t xml:space="preserve">„Kruszywa do mieszanek mineralno-asfaltowych i powierzchniowych   utrwaleń na drogach krajowych”, WT-1 2010 Wymagania techniczne. </w:t>
      </w:r>
    </w:p>
    <w:p w:rsidR="005920EE" w:rsidRDefault="003A7FE2" w:rsidP="00F80244">
      <w:pPr>
        <w:numPr>
          <w:ilvl w:val="0"/>
          <w:numId w:val="35"/>
        </w:numPr>
        <w:spacing w:after="43"/>
        <w:ind w:right="41" w:hanging="454"/>
      </w:pPr>
      <w:r>
        <w:t xml:space="preserve">Wymagania Techniczne „Nawierzchnie asfaltowe na drogach publicznych”, WT-2 Nawierzchnie asfaltowe 2008. </w:t>
      </w:r>
    </w:p>
    <w:p w:rsidR="005920EE" w:rsidRDefault="003A7FE2" w:rsidP="00F80244">
      <w:pPr>
        <w:numPr>
          <w:ilvl w:val="0"/>
          <w:numId w:val="35"/>
        </w:numPr>
        <w:spacing w:after="45"/>
        <w:ind w:right="41" w:hanging="454"/>
      </w:pPr>
      <w:r>
        <w:t xml:space="preserve">Nawierzchnie asfaltowe na drogach krajowych. WT-3 2010.Mieszanki mineralno – asfaltowe. Wymagania techniczne. </w:t>
      </w:r>
    </w:p>
    <w:p w:rsidR="005920EE" w:rsidRDefault="003A7FE2" w:rsidP="00F80244">
      <w:pPr>
        <w:numPr>
          <w:ilvl w:val="0"/>
          <w:numId w:val="35"/>
        </w:numPr>
        <w:spacing w:after="108"/>
        <w:ind w:right="41" w:hanging="454"/>
      </w:pPr>
      <w:r>
        <w:t xml:space="preserve">Wymagania Techniczne „Nawierzchnie asfaltowe na drogach krajowych”, WT-2 2010 Nawierzchnie mineralno-asfaltowe; Wymagania techniczne,  </w:t>
      </w:r>
    </w:p>
    <w:p w:rsidR="00067ED4" w:rsidRDefault="003A7FE2" w:rsidP="00067ED4">
      <w:pPr>
        <w:spacing w:after="0" w:line="259" w:lineRule="auto"/>
        <w:ind w:left="432" w:firstLine="0"/>
        <w:jc w:val="left"/>
      </w:pPr>
      <w:r>
        <w:rPr>
          <w:sz w:val="28"/>
        </w:rPr>
        <w:t xml:space="preserve"> </w:t>
      </w:r>
      <w:r>
        <w:rPr>
          <w:sz w:val="28"/>
        </w:rPr>
        <w:tab/>
        <w:t xml:space="preserve"> </w:t>
      </w:r>
    </w:p>
    <w:sectPr w:rsidR="00067ED4">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DB" w:rsidRDefault="00004DDB">
      <w:pPr>
        <w:spacing w:after="0" w:line="240" w:lineRule="auto"/>
      </w:pPr>
      <w:r>
        <w:separator/>
      </w:r>
    </w:p>
  </w:endnote>
  <w:endnote w:type="continuationSeparator" w:id="0">
    <w:p w:rsidR="00004DDB" w:rsidRDefault="0000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7F26EE" w:rsidRDefault="007F26EE">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7F26EE" w:rsidRDefault="007F26EE">
    <w:pPr>
      <w:spacing w:after="54" w:line="259" w:lineRule="auto"/>
      <w:ind w:left="0" w:right="114" w:firstLine="0"/>
      <w:jc w:val="right"/>
    </w:pPr>
    <w:r>
      <w:rPr>
        <w:sz w:val="14"/>
      </w:rPr>
      <w:t xml:space="preserve">www.vivalo.pl </w:t>
    </w:r>
  </w:p>
  <w:p w:rsidR="007F26EE" w:rsidRDefault="007F26EE">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7F26EE" w:rsidRDefault="007F26EE">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6650"/>
      <w:docPartObj>
        <w:docPartGallery w:val="Page Numbers (Bottom of Page)"/>
        <w:docPartUnique/>
      </w:docPartObj>
    </w:sdtPr>
    <w:sdtEndPr/>
    <w:sdtContent>
      <w:sdt>
        <w:sdtPr>
          <w:id w:val="-1705238520"/>
          <w:docPartObj>
            <w:docPartGallery w:val="Page Numbers (Top of Page)"/>
            <w:docPartUnique/>
          </w:docPartObj>
        </w:sdtPr>
        <w:sdtEndPr/>
        <w:sdtContent>
          <w:p w:rsidR="007F26EE" w:rsidRDefault="007F26EE">
            <w:pPr>
              <w:pStyle w:val="Stopka"/>
            </w:pPr>
            <w:r>
              <w:t xml:space="preserve">Strona </w:t>
            </w:r>
            <w:r>
              <w:rPr>
                <w:b/>
                <w:bCs/>
                <w:sz w:val="24"/>
                <w:szCs w:val="24"/>
              </w:rPr>
              <w:fldChar w:fldCharType="begin"/>
            </w:r>
            <w:r>
              <w:rPr>
                <w:b/>
                <w:bCs/>
              </w:rPr>
              <w:instrText>PAGE</w:instrText>
            </w:r>
            <w:r>
              <w:rPr>
                <w:b/>
                <w:bCs/>
                <w:sz w:val="24"/>
                <w:szCs w:val="24"/>
              </w:rPr>
              <w:fldChar w:fldCharType="separate"/>
            </w:r>
            <w:r w:rsidR="000A6C1F">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A6C1F">
              <w:rPr>
                <w:b/>
                <w:bCs/>
                <w:noProof/>
              </w:rPr>
              <w:t>89</w:t>
            </w:r>
            <w:r>
              <w:rPr>
                <w:b/>
                <w:bCs/>
                <w:sz w:val="24"/>
                <w:szCs w:val="24"/>
              </w:rPr>
              <w:fldChar w:fldCharType="end"/>
            </w:r>
          </w:p>
        </w:sdtContent>
      </w:sdt>
    </w:sdtContent>
  </w:sdt>
  <w:p w:rsidR="007F26EE" w:rsidRDefault="007F26EE" w:rsidP="00563464">
    <w:pPr>
      <w:spacing w:after="0" w:line="375" w:lineRule="auto"/>
      <w:ind w:left="7596" w:hanging="7596"/>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8257"/>
      <w:docPartObj>
        <w:docPartGallery w:val="Page Numbers (Bottom of Page)"/>
        <w:docPartUnique/>
      </w:docPartObj>
    </w:sdtPr>
    <w:sdtEndPr/>
    <w:sdtContent>
      <w:sdt>
        <w:sdtPr>
          <w:id w:val="1728636285"/>
          <w:docPartObj>
            <w:docPartGallery w:val="Page Numbers (Top of Page)"/>
            <w:docPartUnique/>
          </w:docPartObj>
        </w:sdtPr>
        <w:sdtEndPr/>
        <w:sdtContent>
          <w:p w:rsidR="007F26EE" w:rsidRDefault="007F26E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A6C1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A6C1F">
              <w:rPr>
                <w:b/>
                <w:bCs/>
                <w:noProof/>
              </w:rPr>
              <w:t>89</w:t>
            </w:r>
            <w:r>
              <w:rPr>
                <w:b/>
                <w:bCs/>
                <w:sz w:val="24"/>
                <w:szCs w:val="24"/>
              </w:rPr>
              <w:fldChar w:fldCharType="end"/>
            </w:r>
          </w:p>
        </w:sdtContent>
      </w:sdt>
    </w:sdtContent>
  </w:sdt>
  <w:p w:rsidR="007F26EE" w:rsidRPr="004A1A20" w:rsidRDefault="007F26EE" w:rsidP="004A1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DB" w:rsidRDefault="00004DDB">
      <w:pPr>
        <w:tabs>
          <w:tab w:val="center" w:pos="2985"/>
        </w:tabs>
        <w:spacing w:after="0" w:line="259" w:lineRule="auto"/>
        <w:ind w:left="0" w:firstLine="0"/>
        <w:jc w:val="left"/>
      </w:pPr>
      <w:r>
        <w:separator/>
      </w:r>
    </w:p>
  </w:footnote>
  <w:footnote w:type="continuationSeparator" w:id="0">
    <w:p w:rsidR="00004DDB" w:rsidRDefault="00004DDB">
      <w:pPr>
        <w:tabs>
          <w:tab w:val="center" w:pos="2985"/>
        </w:tabs>
        <w:spacing w:after="0" w:line="259" w:lineRule="auto"/>
        <w:ind w:left="0" w:firstLine="0"/>
        <w:jc w:val="left"/>
      </w:pPr>
      <w:r>
        <w:continuationSeparator/>
      </w:r>
    </w:p>
  </w:footnote>
  <w:footnote w:id="1">
    <w:p w:rsidR="007F26EE" w:rsidRDefault="007F26EE">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EE" w:rsidRDefault="007F26E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D39"/>
    <w:multiLevelType w:val="hybridMultilevel"/>
    <w:tmpl w:val="E28234FC"/>
    <w:lvl w:ilvl="0" w:tplc="014C194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C43E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72EDA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835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C2AD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2F83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A4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E27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F8BC7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279C0"/>
    <w:multiLevelType w:val="hybridMultilevel"/>
    <w:tmpl w:val="3EB8AD96"/>
    <w:lvl w:ilvl="0" w:tplc="C1AEE46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44EA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6A30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6D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7EA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AE9D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6FD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99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5D7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E196B"/>
    <w:multiLevelType w:val="hybridMultilevel"/>
    <w:tmpl w:val="B428DFF8"/>
    <w:lvl w:ilvl="0" w:tplc="B0A8D42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4B1E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AE559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681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2A36E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87AD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22E1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58C98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EFA8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F0A3B"/>
    <w:multiLevelType w:val="hybridMultilevel"/>
    <w:tmpl w:val="50729476"/>
    <w:lvl w:ilvl="0" w:tplc="F5DEE38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8E848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8883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44B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A679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EFC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EA0D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63B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8F34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976453"/>
    <w:multiLevelType w:val="hybridMultilevel"/>
    <w:tmpl w:val="01709F08"/>
    <w:lvl w:ilvl="0" w:tplc="86F0357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836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08A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CB9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A56F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CACA2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269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0FB4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4DC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776DB0"/>
    <w:multiLevelType w:val="hybridMultilevel"/>
    <w:tmpl w:val="707008D4"/>
    <w:lvl w:ilvl="0" w:tplc="EB4678D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36019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52B0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E65E4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88FC8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7E71B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963C4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58552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14D32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80037"/>
    <w:multiLevelType w:val="hybridMultilevel"/>
    <w:tmpl w:val="CC4C1D12"/>
    <w:lvl w:ilvl="0" w:tplc="8FFAD52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1E37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6ABE9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1405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26FA2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3CCE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A8642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B4E65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96E1B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08F3F64"/>
    <w:multiLevelType w:val="hybridMultilevel"/>
    <w:tmpl w:val="4D4A7354"/>
    <w:lvl w:ilvl="0" w:tplc="E910984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08F6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2001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C74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2DD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01AF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3E4A2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0748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819D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7524FF"/>
    <w:multiLevelType w:val="hybridMultilevel"/>
    <w:tmpl w:val="247299FC"/>
    <w:lvl w:ilvl="0" w:tplc="FFCA98B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B86F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6145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6E98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C13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C2FE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684E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EFC1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EFAB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2719E9"/>
    <w:multiLevelType w:val="hybridMultilevel"/>
    <w:tmpl w:val="6A302782"/>
    <w:lvl w:ilvl="0" w:tplc="EB1658D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C640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E928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EBB3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628D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C2C7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20E36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8D3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877E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0F690E"/>
    <w:multiLevelType w:val="hybridMultilevel"/>
    <w:tmpl w:val="36442DB6"/>
    <w:lvl w:ilvl="0" w:tplc="0EE4940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23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1E90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4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0C1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CBB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05F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D2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0229CE"/>
    <w:multiLevelType w:val="hybridMultilevel"/>
    <w:tmpl w:val="20B07C44"/>
    <w:lvl w:ilvl="0" w:tplc="E286B1B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A08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8D1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E4A6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DA6E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C8BD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C58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C0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817E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6261A4"/>
    <w:multiLevelType w:val="hybridMultilevel"/>
    <w:tmpl w:val="18303E7C"/>
    <w:lvl w:ilvl="0" w:tplc="7AEE59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AAA3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C629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C87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8B07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4ED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E8EC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8D5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7B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B56513"/>
    <w:multiLevelType w:val="hybridMultilevel"/>
    <w:tmpl w:val="AEEABCB2"/>
    <w:lvl w:ilvl="0" w:tplc="74E057A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E66F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8E491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68B1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50414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2EE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EA4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C6DC7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282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94333A"/>
    <w:multiLevelType w:val="hybridMultilevel"/>
    <w:tmpl w:val="E18C472A"/>
    <w:lvl w:ilvl="0" w:tplc="821C015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5EA12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0F5E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8A3D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05A5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281E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84197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2AAA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414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660BC2"/>
    <w:multiLevelType w:val="hybridMultilevel"/>
    <w:tmpl w:val="7B562088"/>
    <w:lvl w:ilvl="0" w:tplc="8ADC991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885F8">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456A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A2F56">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0684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76E59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C411F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E757A">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E8C8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AA1BD3"/>
    <w:multiLevelType w:val="hybridMultilevel"/>
    <w:tmpl w:val="2F727310"/>
    <w:lvl w:ilvl="0" w:tplc="B546B8F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E114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200F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7F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8600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BA01C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EC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A03B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2BB4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06A51EB"/>
    <w:multiLevelType w:val="hybridMultilevel"/>
    <w:tmpl w:val="D286F232"/>
    <w:lvl w:ilvl="0" w:tplc="2E26D95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B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D6E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CA0C6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EDAF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EAA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8AE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80DA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C46E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B46EDF"/>
    <w:multiLevelType w:val="hybridMultilevel"/>
    <w:tmpl w:val="83F86ADA"/>
    <w:lvl w:ilvl="0" w:tplc="ABCE881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C6E2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126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CC2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F4A3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4492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64F4E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81CB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BB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2C25A45"/>
    <w:multiLevelType w:val="hybridMultilevel"/>
    <w:tmpl w:val="85B8575C"/>
    <w:lvl w:ilvl="0" w:tplc="C2A60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B4AE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0732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984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A873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CB24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B2261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09A9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14FCB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0623FB"/>
    <w:multiLevelType w:val="hybridMultilevel"/>
    <w:tmpl w:val="F75889CE"/>
    <w:lvl w:ilvl="0" w:tplc="2B76B0E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E86A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204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8905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9262A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0E99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2634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217E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C8D0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1E5A14"/>
    <w:multiLevelType w:val="hybridMultilevel"/>
    <w:tmpl w:val="E592D28A"/>
    <w:lvl w:ilvl="0" w:tplc="B636E268">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6831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0CB84">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CE7F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A17C0">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4F52">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CB9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C137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A557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59670063"/>
    <w:multiLevelType w:val="hybridMultilevel"/>
    <w:tmpl w:val="17D25186"/>
    <w:lvl w:ilvl="0" w:tplc="E8ACC7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AAF5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6E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CFA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BCCBD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C2B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AC8A9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8BD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AAF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E33011"/>
    <w:multiLevelType w:val="hybridMultilevel"/>
    <w:tmpl w:val="4BF6AAB8"/>
    <w:lvl w:ilvl="0" w:tplc="E49011C6">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C0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4BE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C29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0B1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A07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6E22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5470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A8914C6"/>
    <w:multiLevelType w:val="hybridMultilevel"/>
    <w:tmpl w:val="46301194"/>
    <w:lvl w:ilvl="0" w:tplc="BC72FFB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A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6EB33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681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A87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8079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40D89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CEB2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32A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E385FD9"/>
    <w:multiLevelType w:val="hybridMultilevel"/>
    <w:tmpl w:val="8E40B4EC"/>
    <w:lvl w:ilvl="0" w:tplc="440A88EA">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432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634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4C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387E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089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82D3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2A3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23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813B25"/>
    <w:multiLevelType w:val="hybridMultilevel"/>
    <w:tmpl w:val="8F728036"/>
    <w:lvl w:ilvl="0" w:tplc="28B8714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AA30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8A65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C8FA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25C8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B0617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A4062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C5D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8CA3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F783A18"/>
    <w:multiLevelType w:val="hybridMultilevel"/>
    <w:tmpl w:val="DCA2D7D6"/>
    <w:lvl w:ilvl="0" w:tplc="CF2A1D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A95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CD2E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7CAA7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88EF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435A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A5ED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0FE7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64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1AE1249"/>
    <w:multiLevelType w:val="hybridMultilevel"/>
    <w:tmpl w:val="5E6E1C68"/>
    <w:lvl w:ilvl="0" w:tplc="04A2F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A6F0A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4FC0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CCE52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4ABD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2A74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6550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4F2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66A82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2E77693"/>
    <w:multiLevelType w:val="hybridMultilevel"/>
    <w:tmpl w:val="7C8A1750"/>
    <w:lvl w:ilvl="0" w:tplc="96769C5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C55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0226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48186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22EA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8FB6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DDC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26C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4BF3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976F53"/>
    <w:multiLevelType w:val="hybridMultilevel"/>
    <w:tmpl w:val="FF7A8BA0"/>
    <w:lvl w:ilvl="0" w:tplc="1CD80AB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246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6231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401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8C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079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966F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2860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4E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71973F6"/>
    <w:multiLevelType w:val="hybridMultilevel"/>
    <w:tmpl w:val="0B40E6FE"/>
    <w:lvl w:ilvl="0" w:tplc="1D40A92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84930">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D6E416">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ABF6E">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6115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EA416">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06FC8">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BE21A8">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CE66E">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7E63CB6"/>
    <w:multiLevelType w:val="hybridMultilevel"/>
    <w:tmpl w:val="8D209BD6"/>
    <w:lvl w:ilvl="0" w:tplc="122EDBC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824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CA20C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8C88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0AC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AD41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6A5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916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619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B655FA1"/>
    <w:multiLevelType w:val="hybridMultilevel"/>
    <w:tmpl w:val="E6C6BE18"/>
    <w:lvl w:ilvl="0" w:tplc="3D9E6B4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EAB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4860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E3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0B05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2429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275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D39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042B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EB60DC7"/>
    <w:multiLevelType w:val="hybridMultilevel"/>
    <w:tmpl w:val="8EFE1C3A"/>
    <w:lvl w:ilvl="0" w:tplc="455C3AA6">
      <w:start w:val="1"/>
      <w:numFmt w:val="lowerLetter"/>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12FB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40D4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CF1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400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E06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6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6FF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64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26C7432"/>
    <w:multiLevelType w:val="hybridMultilevel"/>
    <w:tmpl w:val="F4922CCA"/>
    <w:lvl w:ilvl="0" w:tplc="9202D6A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86C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EC5F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505F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DEA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254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A1E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C6D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40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4912D49"/>
    <w:multiLevelType w:val="hybridMultilevel"/>
    <w:tmpl w:val="E5045C8C"/>
    <w:lvl w:ilvl="0" w:tplc="D20EE2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4E279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A8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EA52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78AA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C630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EAFB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880FC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6A1DE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4F12159"/>
    <w:multiLevelType w:val="hybridMultilevel"/>
    <w:tmpl w:val="24BED2A6"/>
    <w:lvl w:ilvl="0" w:tplc="BA10878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20017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C4AA8">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C3B0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2136">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8E098">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8E484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D0EB5A">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40ECE">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40"/>
  </w:num>
  <w:num w:numId="3">
    <w:abstractNumId w:val="62"/>
  </w:num>
  <w:num w:numId="4">
    <w:abstractNumId w:val="51"/>
  </w:num>
  <w:num w:numId="5">
    <w:abstractNumId w:val="12"/>
  </w:num>
  <w:num w:numId="6">
    <w:abstractNumId w:val="52"/>
  </w:num>
  <w:num w:numId="7">
    <w:abstractNumId w:val="31"/>
  </w:num>
  <w:num w:numId="8">
    <w:abstractNumId w:val="59"/>
  </w:num>
  <w:num w:numId="9">
    <w:abstractNumId w:val="7"/>
  </w:num>
  <w:num w:numId="10">
    <w:abstractNumId w:val="72"/>
  </w:num>
  <w:num w:numId="11">
    <w:abstractNumId w:val="44"/>
  </w:num>
  <w:num w:numId="12">
    <w:abstractNumId w:val="57"/>
  </w:num>
  <w:num w:numId="13">
    <w:abstractNumId w:val="48"/>
  </w:num>
  <w:num w:numId="14">
    <w:abstractNumId w:val="74"/>
  </w:num>
  <w:num w:numId="15">
    <w:abstractNumId w:val="43"/>
  </w:num>
  <w:num w:numId="16">
    <w:abstractNumId w:val="10"/>
  </w:num>
  <w:num w:numId="17">
    <w:abstractNumId w:val="22"/>
  </w:num>
  <w:num w:numId="18">
    <w:abstractNumId w:val="19"/>
  </w:num>
  <w:num w:numId="19">
    <w:abstractNumId w:val="73"/>
  </w:num>
  <w:num w:numId="20">
    <w:abstractNumId w:val="41"/>
  </w:num>
  <w:num w:numId="21">
    <w:abstractNumId w:val="36"/>
  </w:num>
  <w:num w:numId="22">
    <w:abstractNumId w:val="35"/>
  </w:num>
  <w:num w:numId="23">
    <w:abstractNumId w:val="14"/>
  </w:num>
  <w:num w:numId="24">
    <w:abstractNumId w:val="16"/>
  </w:num>
  <w:num w:numId="25">
    <w:abstractNumId w:val="65"/>
  </w:num>
  <w:num w:numId="26">
    <w:abstractNumId w:val="56"/>
  </w:num>
  <w:num w:numId="27">
    <w:abstractNumId w:val="50"/>
  </w:num>
  <w:num w:numId="28">
    <w:abstractNumId w:val="6"/>
  </w:num>
  <w:num w:numId="29">
    <w:abstractNumId w:val="67"/>
  </w:num>
  <w:num w:numId="30">
    <w:abstractNumId w:val="2"/>
  </w:num>
  <w:num w:numId="31">
    <w:abstractNumId w:val="27"/>
  </w:num>
  <w:num w:numId="32">
    <w:abstractNumId w:val="25"/>
  </w:num>
  <w:num w:numId="33">
    <w:abstractNumId w:val="37"/>
  </w:num>
  <w:num w:numId="34">
    <w:abstractNumId w:val="8"/>
  </w:num>
  <w:num w:numId="35">
    <w:abstractNumId w:val="13"/>
  </w:num>
  <w:num w:numId="36">
    <w:abstractNumId w:val="45"/>
  </w:num>
  <w:num w:numId="37">
    <w:abstractNumId w:val="30"/>
  </w:num>
  <w:num w:numId="38">
    <w:abstractNumId w:val="70"/>
  </w:num>
  <w:num w:numId="39">
    <w:abstractNumId w:val="28"/>
  </w:num>
  <w:num w:numId="40">
    <w:abstractNumId w:val="1"/>
  </w:num>
  <w:num w:numId="41">
    <w:abstractNumId w:val="46"/>
  </w:num>
  <w:num w:numId="42">
    <w:abstractNumId w:val="33"/>
  </w:num>
  <w:num w:numId="43">
    <w:abstractNumId w:val="4"/>
  </w:num>
  <w:num w:numId="44">
    <w:abstractNumId w:val="0"/>
  </w:num>
  <w:num w:numId="45">
    <w:abstractNumId w:val="42"/>
  </w:num>
  <w:num w:numId="46">
    <w:abstractNumId w:val="32"/>
  </w:num>
  <w:num w:numId="47">
    <w:abstractNumId w:val="11"/>
  </w:num>
  <w:num w:numId="48">
    <w:abstractNumId w:val="55"/>
  </w:num>
  <w:num w:numId="49">
    <w:abstractNumId w:val="66"/>
  </w:num>
  <w:num w:numId="50">
    <w:abstractNumId w:val="69"/>
  </w:num>
  <w:num w:numId="51">
    <w:abstractNumId w:val="54"/>
  </w:num>
  <w:num w:numId="52">
    <w:abstractNumId w:val="29"/>
  </w:num>
  <w:num w:numId="53">
    <w:abstractNumId w:val="34"/>
  </w:num>
  <w:num w:numId="54">
    <w:abstractNumId w:val="64"/>
  </w:num>
  <w:num w:numId="55">
    <w:abstractNumId w:val="15"/>
  </w:num>
  <w:num w:numId="56">
    <w:abstractNumId w:val="3"/>
  </w:num>
  <w:num w:numId="57">
    <w:abstractNumId w:val="5"/>
  </w:num>
  <w:num w:numId="58">
    <w:abstractNumId w:val="26"/>
  </w:num>
  <w:num w:numId="59">
    <w:abstractNumId w:val="17"/>
  </w:num>
  <w:num w:numId="60">
    <w:abstractNumId w:val="24"/>
  </w:num>
  <w:num w:numId="61">
    <w:abstractNumId w:val="60"/>
  </w:num>
  <w:num w:numId="62">
    <w:abstractNumId w:val="9"/>
  </w:num>
  <w:num w:numId="63">
    <w:abstractNumId w:val="49"/>
  </w:num>
  <w:num w:numId="64">
    <w:abstractNumId w:val="61"/>
  </w:num>
  <w:num w:numId="65">
    <w:abstractNumId w:val="47"/>
  </w:num>
  <w:num w:numId="66">
    <w:abstractNumId w:val="53"/>
  </w:num>
  <w:num w:numId="67">
    <w:abstractNumId w:val="18"/>
  </w:num>
  <w:num w:numId="68">
    <w:abstractNumId w:val="39"/>
  </w:num>
  <w:num w:numId="69">
    <w:abstractNumId w:val="58"/>
  </w:num>
  <w:num w:numId="70">
    <w:abstractNumId w:val="21"/>
  </w:num>
  <w:num w:numId="71">
    <w:abstractNumId w:val="20"/>
  </w:num>
  <w:num w:numId="72">
    <w:abstractNumId w:val="68"/>
  </w:num>
  <w:num w:numId="73">
    <w:abstractNumId w:val="71"/>
  </w:num>
  <w:num w:numId="74">
    <w:abstractNumId w:val="23"/>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04DDB"/>
    <w:rsid w:val="00024FF8"/>
    <w:rsid w:val="000503E3"/>
    <w:rsid w:val="00067ED4"/>
    <w:rsid w:val="00081BF8"/>
    <w:rsid w:val="000A6C1F"/>
    <w:rsid w:val="000D2829"/>
    <w:rsid w:val="001069C8"/>
    <w:rsid w:val="00113506"/>
    <w:rsid w:val="00224186"/>
    <w:rsid w:val="0026540E"/>
    <w:rsid w:val="0030738C"/>
    <w:rsid w:val="0032059E"/>
    <w:rsid w:val="00334C60"/>
    <w:rsid w:val="0035026D"/>
    <w:rsid w:val="003512E4"/>
    <w:rsid w:val="003520EC"/>
    <w:rsid w:val="00374EC2"/>
    <w:rsid w:val="003A7FE2"/>
    <w:rsid w:val="003C129E"/>
    <w:rsid w:val="003D5F04"/>
    <w:rsid w:val="003F075B"/>
    <w:rsid w:val="00470B10"/>
    <w:rsid w:val="00486323"/>
    <w:rsid w:val="00486AB5"/>
    <w:rsid w:val="004A1A20"/>
    <w:rsid w:val="004A7B84"/>
    <w:rsid w:val="004C0A1B"/>
    <w:rsid w:val="004E7C18"/>
    <w:rsid w:val="0051360F"/>
    <w:rsid w:val="00514536"/>
    <w:rsid w:val="00534B0E"/>
    <w:rsid w:val="00535E0D"/>
    <w:rsid w:val="005567D0"/>
    <w:rsid w:val="00563464"/>
    <w:rsid w:val="00571C9D"/>
    <w:rsid w:val="005920EE"/>
    <w:rsid w:val="005E1BC1"/>
    <w:rsid w:val="006E1AAD"/>
    <w:rsid w:val="00756144"/>
    <w:rsid w:val="0077427C"/>
    <w:rsid w:val="007F26EE"/>
    <w:rsid w:val="007F2EF7"/>
    <w:rsid w:val="00826A61"/>
    <w:rsid w:val="00837844"/>
    <w:rsid w:val="008F3C43"/>
    <w:rsid w:val="008F5370"/>
    <w:rsid w:val="00941962"/>
    <w:rsid w:val="009C385F"/>
    <w:rsid w:val="009D2006"/>
    <w:rsid w:val="00A54366"/>
    <w:rsid w:val="00AC7BC6"/>
    <w:rsid w:val="00AF2365"/>
    <w:rsid w:val="00B165F5"/>
    <w:rsid w:val="00BB10D1"/>
    <w:rsid w:val="00BE04C4"/>
    <w:rsid w:val="00C225D5"/>
    <w:rsid w:val="00C940DE"/>
    <w:rsid w:val="00C97840"/>
    <w:rsid w:val="00CB6E7A"/>
    <w:rsid w:val="00D619BA"/>
    <w:rsid w:val="00E4026C"/>
    <w:rsid w:val="00E535C8"/>
    <w:rsid w:val="00E652F9"/>
    <w:rsid w:val="00E67DBB"/>
    <w:rsid w:val="00E94DAD"/>
    <w:rsid w:val="00ED0732"/>
    <w:rsid w:val="00F05025"/>
    <w:rsid w:val="00F3510C"/>
    <w:rsid w:val="00F46CE0"/>
    <w:rsid w:val="00F64AB7"/>
    <w:rsid w:val="00F80244"/>
    <w:rsid w:val="00F82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uiPriority w:val="9"/>
    <w:rPr>
      <w:rFonts w:ascii="Calibri" w:eastAsia="Calibri" w:hAnsi="Calibri" w:cs="Calibri"/>
      <w:color w:val="000000"/>
      <w:sz w:val="18"/>
    </w:rPr>
  </w:style>
  <w:style w:type="character" w:customStyle="1" w:styleId="Nagwek3Znak">
    <w:name w:val="Nagłówek 3 Znak"/>
    <w:link w:val="Nagwek3"/>
    <w:uiPriority w:val="9"/>
    <w:rPr>
      <w:rFonts w:ascii="Calibri" w:eastAsia="Calibri" w:hAnsi="Calibri" w:cs="Calibri"/>
      <w:color w:val="000000"/>
      <w:sz w:val="19"/>
    </w:rPr>
  </w:style>
  <w:style w:type="character" w:customStyle="1" w:styleId="Nagwek4Znak">
    <w:name w:val="Nagłówek 4 Znak"/>
    <w:link w:val="Nagwek4"/>
    <w:uiPriority w:val="9"/>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 w:type="paragraph" w:styleId="Nagwek">
    <w:name w:val="header"/>
    <w:basedOn w:val="Normalny"/>
    <w:link w:val="NagwekZnak"/>
    <w:uiPriority w:val="99"/>
    <w:unhideWhenUsed/>
    <w:rsid w:val="00067ED4"/>
    <w:pPr>
      <w:tabs>
        <w:tab w:val="center" w:pos="4536"/>
        <w:tab w:val="right" w:pos="9072"/>
      </w:tabs>
      <w:spacing w:after="0" w:line="240" w:lineRule="auto"/>
      <w:ind w:left="5" w:hanging="5"/>
    </w:pPr>
  </w:style>
  <w:style w:type="character" w:customStyle="1" w:styleId="NagwekZnak">
    <w:name w:val="Nagłówek Znak"/>
    <w:basedOn w:val="Domylnaczcionkaakapitu"/>
    <w:link w:val="Nagwek"/>
    <w:uiPriority w:val="99"/>
    <w:rsid w:val="00067E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89</Pages>
  <Words>23883</Words>
  <Characters>143300</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4</cp:revision>
  <cp:lastPrinted>2017-09-07T10:13:00Z</cp:lastPrinted>
  <dcterms:created xsi:type="dcterms:W3CDTF">2017-09-07T10:44:00Z</dcterms:created>
  <dcterms:modified xsi:type="dcterms:W3CDTF">2018-09-24T07:12:00Z</dcterms:modified>
</cp:coreProperties>
</file>