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D1D" w:rsidRPr="00746902" w:rsidRDefault="008F4BD2" w:rsidP="008F4BD2">
      <w:pPr>
        <w:jc w:val="righ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  <w:r w:rsidRPr="00746902">
        <w:rPr>
          <w:rFonts w:asciiTheme="minorHAnsi" w:hAnsiTheme="minorHAnsi" w:cstheme="minorHAnsi"/>
          <w:sz w:val="20"/>
          <w:szCs w:val="20"/>
        </w:rPr>
        <w:t>Załącznik nr 4a do SIWZ nr 2 do umowy</w:t>
      </w:r>
    </w:p>
    <w:p w:rsidR="008F4BD2" w:rsidRPr="00746902" w:rsidRDefault="008F4BD2" w:rsidP="008F4BD2">
      <w:pPr>
        <w:pStyle w:val="Akapitzlist"/>
        <w:numPr>
          <w:ilvl w:val="0"/>
          <w:numId w:val="1"/>
        </w:numPr>
        <w:tabs>
          <w:tab w:val="left" w:pos="480"/>
          <w:tab w:val="left" w:pos="810"/>
          <w:tab w:val="left" w:pos="851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746902">
        <w:rPr>
          <w:rFonts w:asciiTheme="minorHAnsi" w:hAnsiTheme="minorHAnsi" w:cstheme="minorHAnsi"/>
          <w:b/>
          <w:iCs/>
          <w:sz w:val="20"/>
          <w:szCs w:val="20"/>
        </w:rPr>
        <w:t>Technologia wykonania prac ogrodniczych:</w:t>
      </w:r>
    </w:p>
    <w:p w:rsidR="008F4BD2" w:rsidRPr="00746902" w:rsidRDefault="008F4BD2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722" w:type="dxa"/>
        <w:tblInd w:w="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6"/>
        <w:gridCol w:w="2427"/>
        <w:gridCol w:w="5716"/>
      </w:tblGrid>
      <w:tr w:rsidR="008F4BD2" w:rsidRPr="00746902" w:rsidTr="00FB4537">
        <w:trPr>
          <w:trHeight w:val="60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Wyszczególnienie czynności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8F4BD2" w:rsidRPr="00746902" w:rsidRDefault="008F4BD2" w:rsidP="0074690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Technologia  prac</w:t>
            </w:r>
          </w:p>
        </w:tc>
      </w:tr>
      <w:tr w:rsidR="008F4BD2" w:rsidRPr="00746902" w:rsidTr="00FB4537">
        <w:trPr>
          <w:trHeight w:val="342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Wiosenne grabienie liści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Wywóz zgrabionych zanieczyszczeń należy wykonywać na bieżąco, najpóźniej następnego dnia od dnia ich spryzmowania, niedopuszczalne jest gromadzenie zanieczyszczeń na terenie.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Jesienne grabienie liści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746902" w:rsidRDefault="00C90837" w:rsidP="007465D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. Wywóz zgrabionych zanieczyszczeń należy wykonywać na bieżąco, najpóźniej następnego dnia od dnia ich spryzmowania, niedopuszczalne jest gromadzenie zanieczyszczeń na terenie.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Koszenie trawników 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4BD2" w:rsidRPr="00746902" w:rsidRDefault="007465DC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zostaną wykonane w terminie zgodnym z ofertą, od dnia zlecenia prac przez Zamawiającego.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Wysokość cięcia trawy 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6 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z podkoszeniem przy elementach architektonicznych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wyposażeniach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, nawierzchniach, skupinach krzewów i rabatach itp.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z całkowitym usunięciem pokosu. Pokos należy usunąć bezpośrednio po koszeniu. Wywóz pokosu należy wykonywać na bieżąco, najpóźniej następnego dnia od dnia spryzmowania, niedopuszczalne jest gromadzenie pokosu na terenie.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Renowacja trawników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 </w:t>
            </w:r>
            <w:proofErr w:type="spellStart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proofErr w:type="spellEnd"/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65DC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prac. Zakres prac obejmuje: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upraw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min. 25 cm,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wygrabienie z wybraniem i wywozem zanieczyszczeń,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zastosowanie 2 cm warstwy materiału użyźniającego (kompost); 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siew trawy,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wałowanie obsianej powierzchni,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podlanie;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ogrodzenie trawnika palikami i taśmą do czasu wzejścia trawy</w:t>
            </w:r>
          </w:p>
        </w:tc>
      </w:tr>
      <w:tr w:rsidR="008F4BD2" w:rsidRPr="00746902" w:rsidTr="00FB4537">
        <w:trPr>
          <w:trHeight w:val="877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4BD2" w:rsidRPr="00746902" w:rsidRDefault="008F4BD2" w:rsidP="009F5F2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Ułożenie trawnika z rolki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465DC" w:rsidRDefault="000B0FC5" w:rsidP="007465D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upraw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min. 25 cm,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wygrabienie z wybraniem i wywozem zanieczyszczeń,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zastosowanie 2 cm warstwy materiału użyźniającego (kompost),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ułożenie trawnika darniowego z rolki z dociśnięciem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br/>
              <w:t>po ułożeniu,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podlanie</w:t>
            </w:r>
          </w:p>
        </w:tc>
      </w:tr>
      <w:tr w:rsidR="008F4BD2" w:rsidRPr="00746902" w:rsidTr="00FB4537">
        <w:trPr>
          <w:trHeight w:val="61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Założenie trawnika z siewu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65DC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przygotowanie podłoża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 xml:space="preserve"> wraz z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oczyszczenie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uprawę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min. 25 cm,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wygrabienie z wybraniem i wywozem zanieczyszczeń,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zastosowanie 2 cm warstwy materiału użyźniającego (kompost); </w:t>
            </w:r>
          </w:p>
          <w:p w:rsidR="008F4BD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siew trawy,</w:t>
            </w:r>
          </w:p>
          <w:p w:rsidR="000B0FC5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wałowanie obsianej powierzchni,</w:t>
            </w:r>
          </w:p>
          <w:p w:rsidR="000B0FC5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podlanie;</w:t>
            </w:r>
          </w:p>
          <w:p w:rsidR="000B0FC5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ogrodzenie trawnika palikami i taśmą do czasu wzejścia trawy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Gotowa mieszanka traw powinna mieć oznaczony procentowy skład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gatunkowy, klasę, numer normy według której została wyprodukowana, zdolność kiełkowania. Nasiona nie mogą mieć objawów zagrzybienia.</w:t>
            </w:r>
          </w:p>
          <w:p w:rsidR="008F4BD2" w:rsidRPr="00746902" w:rsidRDefault="008F4BD2" w:rsidP="000B0FC5">
            <w:pPr>
              <w:keepNext/>
              <w:keepLines/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0F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Skład mieszanki traw na miejsca słoneczne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0B0FC5">
            <w:pPr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- 80% kostrzewy trzcinowej, 10% wiechliny łąkowej, 10% życicy trwałej.</w:t>
            </w:r>
          </w:p>
          <w:p w:rsidR="008F4BD2" w:rsidRPr="00746902" w:rsidRDefault="008F4BD2" w:rsidP="000B0FC5">
            <w:pPr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B0FC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Skład mieszanki traw na miejsca zacienione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-15% życicy trwałej, 30% kostrzewy czerwonej (rozłogowej), 25% kostrzewy czerwonej (kępowej), 10% kostrzewy różnolistnej, 10% wiechliny łąkowej, 10% kostrzewy owczej</w:t>
            </w:r>
          </w:p>
        </w:tc>
      </w:tr>
      <w:tr w:rsidR="008F4BD2" w:rsidRPr="00746902" w:rsidTr="00FB4537">
        <w:trPr>
          <w:trHeight w:val="610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Pielenie żywopłotów, krzewów, bylin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7465D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 p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łytkie spulchnianie gleby oraz usuwanie ręczne chwastów w tym samosiewów, z systemem korzeniowym oraz odcięcie brzegów otaczającego trawnika. Usunięcie i wywóz urobku winno nastąpić natychmiast po zakończeniu prac.</w:t>
            </w:r>
          </w:p>
        </w:tc>
      </w:tr>
      <w:tr w:rsidR="008F4BD2" w:rsidRPr="00746902" w:rsidTr="00FB4537">
        <w:trPr>
          <w:trHeight w:val="71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Cięcie żywopłotów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c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ięcie wszystki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płaszczyzn żywopłotu po linii odrostów pędów tegorocznych. Usunięcie i wywóz urobku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winno nastąpić natychmiast po zakończeniu prac.</w:t>
            </w:r>
          </w:p>
        </w:tc>
      </w:tr>
      <w:tr w:rsidR="008F4BD2" w:rsidRPr="00746902" w:rsidTr="00FB4537">
        <w:trPr>
          <w:trHeight w:val="164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Cięcia pi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elęgnacyjne i formujące krzewy ,w tym odmładzanie,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Zakres prac obejmuje u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sunięcie przekwitłych kwiatostanów, suchych i uszkodzonych części roślin, przycinanie pędów mające na celu zagęszczenie i odmłodzenie krzewu oraz nadanie mu pokroju charakterystycznego dla danego gatunku.</w:t>
            </w:r>
          </w:p>
          <w:p w:rsidR="008F4BD2" w:rsidRPr="00746902" w:rsidRDefault="008F4BD2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Usunięcie obciętych pędów i wywóz </w:t>
            </w:r>
            <w:r w:rsidR="000B0FC5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winny nastąpić natychmiast po zakończeniu prac.</w:t>
            </w:r>
          </w:p>
        </w:tc>
      </w:tr>
      <w:tr w:rsidR="008F4BD2" w:rsidRPr="00746902" w:rsidTr="00FB4537">
        <w:trPr>
          <w:trHeight w:val="40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Mulczowanie 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z. II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0B0FC5" w:rsidP="000B0FC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rozłożenie w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arstw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przekompostowanej kory z drzew iglastych</w:t>
            </w:r>
            <w:r w:rsidR="00165AA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krzewów liściastych, iglastych, róż, traw ozdobnych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B908E6" w:rsidRDefault="000B0FC5" w:rsidP="00FB1B69">
            <w:pPr>
              <w:ind w:left="4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B908E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na obszarze ustalonym przez Zamawiającego</w:t>
            </w:r>
            <w:r w:rsidR="00FB1B6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cm.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Pr="00746902" w:rsidRDefault="008F4BD2" w:rsidP="00165AA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FB1B69">
            <w:pPr>
              <w:ind w:left="18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Parametry roślin muszą być zgodne z zaleceniami jakościowymi dla materiału szkółkarskiego danego gatunku i odmiany opracowanymi przez Związek Szkółkarzy Polskich oraz zgodne z parametrami określonymi przez Zamawiającego, tj. krzewy w pojemnikach min. C3, trzykrotnie szkółkowane, rośliny muszą być zdrewniałe, zahartowane oraz prawidłowo uformowane, z zachowaniem charakterystycznych dla gatunków i odmian pokrojów, wysokości, szerokości i długości pędów, a także równomiernie rozkrzewione i rozgałęzione. Powinny być także zachowane odpowiednie proporcje między koroną i bryłą korzeniową. Materiał musi być zdrowy, bez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uszkodzeń mechanicznych, bez widocznych objawów będących wynikiem niewłaściwego nawożenia i agrotechniki oraz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bez odrostów z podkładki. System korzeniowy musi być dobrze wykształcony, zwarty, odpowiedni do wieku rośliny i sposobu uprawy. </w:t>
            </w:r>
          </w:p>
          <w:p w:rsidR="008F4BD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Wady niedopuszczalne: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uszkodzenie mechaniczne roślin, objawy będące skutkiem niewłaściwego nawożenia i agrotechniki, ślady żerowania szkodników, oznaki chorobowe, martwice i pęknięcia kory, uszkodzenie lub przesuszenie bryły korzeniowej, deformacje.</w:t>
            </w:r>
          </w:p>
          <w:p w:rsidR="00C90837" w:rsidRPr="00C90837" w:rsidRDefault="00C90837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krzewów żywopłotowych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cm.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lub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Wykonanie rowka o szerokości od 0,45 m do 0,7 m, zaprawa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br/>
              <w:t>ziemią urodzajną, sadzenie, podlanie mulczowanie korą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FB1B69">
            <w:pPr>
              <w:ind w:left="-24" w:right="1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Parametry roślin muszą być zgodne z zaleceniami jakościowymi dla materiału szkółkarskiego danego gatunku i odmiany opracowanymi przez Związek Szkółkarzy Polskich oraz zgodne z parametrami określonymi przez Zamawiającego, tj.: krzewy żywopłotowe: materiał wys.. min 60 cm, z prawidłowo ukorzenionym systemem korzeniowym. Rośliny muszą być zdrewniałe, zahartowane oraz prawidłowo uformowane, z zachowaniem charakterystycznych dla gatunków i odmian pokrojów, wysokości, szerokości i długości pędów, a także równomiernie rozkrzewione i rozgałęzione. Powinny być także zachowane odpowiednie proporcje między koroną i bryłą korzeniową. Materiał musi być zdrowy, bez uszkodzeń mechanicznych, bez widocznych objawów będących wynikiem niewłaściwego nawożenia i agrotechniki oraz bez odrostów z podkładki. System korzeniowy musi być dobrze wykształcony, zwarty, odpowiedni do wieku rośliny i sposobu uprawy. </w:t>
            </w:r>
          </w:p>
          <w:p w:rsidR="008F4BD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Wady niedopuszczalne: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uszkodzenie mechaniczne roślin, objawy będące skutkiem niewłaściwego nawożenia i agrotechniki, ślady żerowania szkodników, oznaki chorobowe, martwice i pęknięcia kory, uszkodzenie lub przesuszenie bryły korzeniowej, deformacje.</w:t>
            </w:r>
          </w:p>
          <w:p w:rsidR="00C90837" w:rsidRPr="00746902" w:rsidRDefault="00C90837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roślin okrywowych i pnączy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DC3C03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wymianie ziemi na urodzajną na głębokość min. 20 cm.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Default="008F4BD2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C90837" w:rsidRPr="00746902" w:rsidRDefault="00C90837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734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bylin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na obszarze ustalonym przez Zamawiającego zgodnie z zasadami wiedzy ogrodniczej, przyjętymi normami w tym zakresie oraz zgodnie z wymaganiami Zamawiającego. Materiał roślinny należy sadzić w doły o wymiarach dostosowanych odpowiednio do wielkości bryły korzeniowej. Wszystkie nasadzenia należy wykonać po uprzednim przygotowaniu terenu, tj. po ewentualnym zdjęciu darni, oczyszczeniu z gruzu lub usunięciu obumarłych roślin oraz wymianie ziemi na urodzajną na głębokość min. 20 cm. Po posadzeniu należy podlać rośliny oraz </w:t>
            </w:r>
            <w:proofErr w:type="spellStart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wymulczować</w:t>
            </w:r>
            <w:proofErr w:type="spellEnd"/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min. 5 cm warstwą przekompostowanej kory z roślin iglastych.</w:t>
            </w:r>
          </w:p>
          <w:p w:rsidR="008F4BD2" w:rsidRPr="00746902" w:rsidRDefault="008F4BD2" w:rsidP="00FB1B6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Zaprawa dołów dostosowanych do wielkości bryły korzeniowej ziemią urodzajną, sadzenie, podlanie, mulczowanie korą. </w:t>
            </w:r>
            <w:r w:rsidRPr="0074690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Wymagania dotyczące materiału roślinnego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8F4BD2" w:rsidRPr="00746902" w:rsidRDefault="008F4BD2" w:rsidP="00FB1B69">
            <w:pPr>
              <w:ind w:left="32" w:right="-17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Parametry roślin muszą być zgodne z zaleceniami jakościowymi dla materiału szkółkarskiego danego gatunku i odmiany opracowanymi przez Związek Szkółkarzy Polskich oraz zgodne z parametrami określonymi przez Zamawiającego, tj.: byliny: w pojemnikach min. P9, z prawidłowo ukorzenionym systemem korzeniowym.</w:t>
            </w:r>
          </w:p>
          <w:p w:rsidR="008F4BD2" w:rsidRDefault="008F4BD2" w:rsidP="00FB1B69">
            <w:pPr>
              <w:ind w:right="-170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</w:pP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Rośliny muszą być zahartowane oraz prawidłowo uformowane, z zachowaniem charakterystycznych dla gatunków i odmian pokrojów, wysokości, szerokości i długości pędów, a także równomiernie rozkrzewione i rozgałęzione. Materiał musi być zdrowy, bez uszkodzeń mechanicznych bez widocznych objawów będących wynikiem niewłaściwego nawożenia i agrotechniki oraz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bez odrostów z podkładki. System korzeniowy musi być dobrze wykształcony, zwarty, odpowiedni do wieku rośliny i sposobu uprawy. </w:t>
            </w:r>
            <w:r w:rsidRPr="0074690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Wady niedopuszczalne: </w:t>
            </w:r>
            <w:r w:rsidRPr="0074690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</w:rPr>
              <w:t>uszkodzenie mechaniczne roślin, objawy będące skutkiem niewłaściwego nawożenia i agrotechniki, ślady żerowania szkodników, oznaki chorobowe, martwice, uszkodzenie lub przesuszenie bryły korzeniowej, deformacje.</w:t>
            </w:r>
          </w:p>
          <w:p w:rsidR="00C90837" w:rsidRPr="00746902" w:rsidRDefault="00C90837" w:rsidP="00FB1B69">
            <w:pPr>
              <w:ind w:right="-170"/>
              <w:rPr>
                <w:rFonts w:asciiTheme="minorHAnsi" w:hAnsiTheme="minorHAnsi" w:cstheme="minorHAnsi"/>
                <w:sz w:val="20"/>
                <w:szCs w:val="20"/>
              </w:rPr>
            </w:pPr>
            <w:r w:rsidRPr="00C9083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 udziela gwarancji na posadzony materiał roślinny w okresie zadeklarowanym w ofercie.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15.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Podlewanie 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)</w:t>
            </w:r>
          </w:p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podlanie wierzchniej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warstw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gleby na głębokość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15-30cm.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16.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Wycinka krzewów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FB1B69" w:rsidP="00FB1B6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C3C03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Zakres prac obejmuje ś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cięcie krzewu wraz z usunięciem systemu korzeniowego, zasypaniem dołu ziemią urodzajną, wyrównaniem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i uprzątnięciem terenu oraz wykonaniem renowacji trawnika (Zleceniodawca może zrezygnować z wykonania renowacji trawnika w przypadku, gdy planowane jest wykonanie nasadzeń zastępczych).</w:t>
            </w:r>
          </w:p>
        </w:tc>
      </w:tr>
      <w:tr w:rsidR="008F4BD2" w:rsidRPr="00746902" w:rsidTr="00FB4537">
        <w:trPr>
          <w:trHeight w:val="3812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17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Obsadzenie kwietników i donic z wykorzystaniem roślin sezonowych , w tym donice na latarniach i konstrukcje kwiatowe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6167C4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zostaną wykonane w terminach ustalanych w zleceniach przez Zamawiającego w zależności od potrzeb, maksymalnie do 30 dni, od zlecenia prac. Zakres prac obejmuje: </w:t>
            </w:r>
          </w:p>
          <w:p w:rsidR="008F4BD2" w:rsidRPr="00746902" w:rsidRDefault="006167C4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uzupełnienie 5 cm warstwy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kompostu</w:t>
            </w: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uzupełnienie ubytków ziemi urodzajnej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ręczny wysiew nawozów mineralnych wieloskładnikowych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uzupełnienie ziemi urodzajnej hydrożelem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przekopanie powierzchni gleby i jej zagrabienie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-rozmieszczenie roślin na terenie kwietnika w odpowiednich odległościach oraz zgodnie z projektem dostarczonym przez Zamawiającego;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posadzenie roślin zgodnie ze sztuką ogrodniczą;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 posadzeniu – dokładne i ostrożne podlanie roślin drobnokroplistym strumieniem uważając aby nie spowodować „wypłukania roślin”;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wyrównanie gleby pomiędzy roślinami,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uporządkowanie miejsca pracy</w:t>
            </w:r>
          </w:p>
          <w:p w:rsidR="008F4BD2" w:rsidRPr="00746902" w:rsidRDefault="008F4BD2" w:rsidP="00D75237">
            <w:pPr>
              <w:pBdr>
                <w:bottom w:val="single" w:sz="6" w:space="1" w:color="auto"/>
              </w:pBd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Wykonawca udziela miesięcznej gwarancji na posadzone rośliny </w:t>
            </w:r>
            <w:r w:rsidR="006167C4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sezonowe </w:t>
            </w: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(poza aktami wandalizmu i klęskami żywiołowymi)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b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b/>
                <w:sz w:val="20"/>
                <w:szCs w:val="20"/>
                <w:lang w:eastAsia="pl-PL"/>
              </w:rPr>
              <w:t>Zalecenia do materiału roślinnego: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musi posiadać prawidłowo rozwinięty system korzeniowy (w doniczkach z przerośniętą bryłą korzeniową)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musi być w dobrej kondycji zdrowotnej, bez oznak chorób i żerowania szkodników,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materiał roślinny musi być w fazie kwitnienia (z dużą ilością pączków kwiatowych) oraz musi pokryć w całości powierzchnię ziemi na której został posadzony </w:t>
            </w: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(efekt kwitnienia oraz pokrycia powierzchni roślinami powinien pojawić się po upływie 1 - 2 tygodni od momentu posadzenia roślin)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- zalecana rozstawa sadzenia powinna zostać dostosowana (zwiększona lub zmniejszona) do wielkości materiału roślinnego w celu uzyskania ww. wymaganego pokrycia powierzchni roślinami;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w ramach gatunku i odmiany musi być wyrównany oraz musi posiadać parametry charakterystyczne dla danego gatunku lub odmiany (dot. wysokości, kształtu, i rozkrzewienia sadzonek, barwy kwiatów.)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materiał roślinny powinien posiadać wysokie walory estetyczne</w:t>
            </w:r>
          </w:p>
          <w:p w:rsidR="008F4BD2" w:rsidRPr="00746902" w:rsidRDefault="008F4BD2" w:rsidP="00D75237">
            <w:pPr>
              <w:rPr>
                <w:rFonts w:asciiTheme="minorHAnsi" w:eastAsia="CenturyGothic,Bold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w wypadku </w:t>
            </w:r>
            <w:proofErr w:type="spellStart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Chrysanthemum</w:t>
            </w:r>
            <w:proofErr w:type="spellEnd"/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sp. sadzonki muszą posiadać w momencie sadzenia średnicę: 0, 3 m – 0,4 m oraz w 30% rozwinięte kwiaty .</w:t>
            </w:r>
          </w:p>
        </w:tc>
      </w:tr>
      <w:tr w:rsidR="008F4BD2" w:rsidRPr="00746902" w:rsidTr="00746902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126DF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Sadzenie roślin cebulowych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  <w:r w:rsidR="009F5F2D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6167C4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przy uwzględnieniu następujących czynności: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przygotowanie podłoża przed sadzeniem cebul poprzez zastosowanie odpowiednich nawozów;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przed posadzeniem cebul należy je zabezpieczyć przeciwko chorobom grzybowym poprzez moczenie cebul w preparatach grzybobójczych,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rozmieszczenie cebul roślin na terenie kwietnika</w:t>
            </w:r>
            <w:r w:rsidR="006167C4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w odpowiednich odległościach (w zależności od odmiany i gatunku) oraz zgodnie z projektem dostarczonym przez Zamawiającego;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posadzenie cebul na odpowiedniej głębokości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przykryciem 5 cm warstwą torfu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wyrównanie powierzchni kwietnika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uporządkowanie miejsca pracy</w:t>
            </w:r>
          </w:p>
          <w:p w:rsidR="008F4BD2" w:rsidRPr="00746902" w:rsidRDefault="008F4BD2" w:rsidP="00D75237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zalecenia do materiału roślinnego: rośliny cebulowe – I gatunku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9F5F2D" w:rsidP="009F5F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Miesięczna p</w:t>
            </w:r>
            <w:r w:rsidR="008F4BD2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ielęgnacja obsadzenia  z wykorzystaniem roślin sezonowych</w:t>
            </w: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6167C4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T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ermin </w:t>
            </w:r>
            <w:r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rozpoczęcia</w:t>
            </w:r>
            <w:r w:rsidR="001E271B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prac - 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 od momentu wykonania obsadzenia, przy uwzględnieniu następujących czynności: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pielenie, spulchnianie gleby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zastosowanie środków ochrony roślin - z uwzględnieniem zakupu i transportu środków ochrony roślin, w zależności od potrzeb,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usuwanie przekwitłych kwiatostanów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nawożenie , w zależności od potrzeb,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podlewanie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formowanie nadmiernie rozrastających się roślin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zebranie, wywóz resztek roślinnych (w dniu pielęgnacji) oraz utylizacja.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Krotność wykonywania poszczególnych czynności w ramach pielęgnacji będzie uzależniona od potrzeb.</w:t>
            </w:r>
          </w:p>
          <w:p w:rsidR="008F4BD2" w:rsidRPr="00746902" w:rsidRDefault="008F4BD2" w:rsidP="00746902">
            <w:pPr>
              <w:pBdr>
                <w:bottom w:val="single" w:sz="6" w:space="1" w:color="auto"/>
              </w:pBd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Niezależnie od ilości wykonywania poszczególnych czynności w powyższej pielęgnacji Wykonawca będzie rozliczany z właściwego efektu wykonania prac określonego przez Zamawiającego</w:t>
            </w:r>
            <w:r w:rsidR="001E271B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w okresach </w:t>
            </w:r>
            <w:proofErr w:type="spellStart"/>
            <w:r w:rsidR="001E271B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miesiecznych</w:t>
            </w:r>
            <w:proofErr w:type="spellEnd"/>
            <w:r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="009F5F2D"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 Kwota ryczałtowa za miesiąc.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Usunięcie roślin po zakończeniu obsadzenia – kwiaty sezonowe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IV.)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1E271B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F4BD2"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przy uwzględnieniu następujących czynności</w:t>
            </w:r>
            <w:r w:rsidR="008F4BD2" w:rsidRPr="00746902">
              <w:rPr>
                <w:rFonts w:asciiTheme="minorHAnsi" w:eastAsia="CenturyGothic,Bold" w:hAnsiTheme="minorHAnsi" w:cstheme="minorHAnsi"/>
                <w:b/>
                <w:bCs/>
                <w:sz w:val="20"/>
                <w:szCs w:val="20"/>
                <w:lang w:eastAsia="pl-PL"/>
              </w:rPr>
              <w:t>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usunięcie roślin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zebranie, wywóz resztek roślinnych (w dniu usunięcia roślin) oraz utylizacja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przekopanie gleby na głębokość 25 cm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wyrównanie powierzchni kwietnika</w:t>
            </w:r>
          </w:p>
        </w:tc>
      </w:tr>
      <w:tr w:rsidR="008F4BD2" w:rsidRPr="00746902" w:rsidTr="00FB4537">
        <w:trPr>
          <w:trHeight w:val="285"/>
        </w:trPr>
        <w:tc>
          <w:tcPr>
            <w:tcW w:w="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Rozłożenie stroiszu jodłowego na powierzchni kwietnika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  <w:r w:rsidR="008007F3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237" w:rsidRDefault="001E271B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>, przy uwzględnieniu następujących czynności: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 xml:space="preserve">- jednokrotne rozłożenie stroiszu jodłowego na powierzchni kwietników, 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uzupełnianie ubytków stroiszu jodłowego na powierzchni kwietników w zależności od potrzeb, przy uwzględnieniu następujących czynności: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zakup stroiszu jodłowego i dowóz na miejsce rozłożenia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dokładne oczyszczenie i wyrównanie powierzchni ziemi na terenie kwietnika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dokładne przykrycie powierzchni kwietnika warstwą gałązek jodłowych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porządkowanie ułożenia stroiszu</w:t>
            </w:r>
          </w:p>
          <w:p w:rsidR="008F4BD2" w:rsidRPr="00746902" w:rsidRDefault="008F4BD2" w:rsidP="00746902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eastAsia="CenturyGothic" w:hAnsiTheme="minorHAnsi" w:cstheme="minorHAnsi"/>
                <w:sz w:val="20"/>
                <w:szCs w:val="20"/>
                <w:lang w:eastAsia="pl-PL"/>
              </w:rPr>
              <w:t>- uporządkowanie miejsca pracy</w:t>
            </w:r>
          </w:p>
        </w:tc>
      </w:tr>
      <w:tr w:rsidR="008F4BD2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22.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4BD2" w:rsidRPr="00746902" w:rsidRDefault="008F4BD2" w:rsidP="00126DF8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Montaż osłon zimowych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BD2" w:rsidRPr="00746902" w:rsidRDefault="001E271B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8F4BD2" w:rsidRPr="00746902">
              <w:rPr>
                <w:rFonts w:asciiTheme="minorHAnsi" w:hAnsiTheme="minorHAnsi" w:cstheme="minorHAnsi"/>
                <w:sz w:val="20"/>
                <w:szCs w:val="20"/>
              </w:rPr>
              <w:t>Wygrodzenie skupin krzewów i mis drzew matą w kolorze czarnym o wysokości min. 50 cm, rozpiętą na słupkach. Maksymalna odległość pomiędzy słupkami 2 m. Głębokość osadzenia słupków w gruncie - nie mniej niż 50 cm. Mata nie przepuszczająca wody.</w:t>
            </w:r>
          </w:p>
        </w:tc>
      </w:tr>
      <w:tr w:rsidR="00EC6436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23.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Zbieranie zanieczyszczeń z trawników, krzewów i żywopłotów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V)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Prace będą wykonywane 2 x w tygodniu w poniedziałki i czwartki do godz. 9:00. Do zadań Wykonawcy w szczególności należy: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- dokładne oczyszczenie terenów zieleni ze śmieci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 zanieczyszczeń (papiery, niedopałki, folia, psie odchody, liście, butelki, kartony, ulotki, znicze, gałęzie, itp.) 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- zebranie, wywóz i utylizacja zanieczyszczeń,</w:t>
            </w:r>
          </w:p>
        </w:tc>
      </w:tr>
      <w:tr w:rsidR="00EC6436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24.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Założenie łąki kwietnej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  <w:p w:rsidR="00126DF8" w:rsidRPr="00746902" w:rsidRDefault="00126DF8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271B" w:rsidRDefault="001E271B" w:rsidP="00746902">
            <w:pPr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prac. Zakres prac obejmuje:</w:t>
            </w:r>
          </w:p>
          <w:p w:rsidR="00EC6436" w:rsidRPr="00746902" w:rsidRDefault="00EC6436" w:rsidP="00746902">
            <w:pPr>
              <w:tabs>
                <w:tab w:val="left" w:pos="284"/>
              </w:tabs>
              <w:suppressAutoHyphens w:val="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lastRenderedPageBreak/>
              <w:t>Przygotowanie terenu: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zebranie zanieczyszczeń - gruzu, śmieci, i innych – wywóz i zagospodarowanie niniejszych odpadów.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Ściągnięcie darni i gruntu rodzimego na głębokość 5cm.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Rozluźnienie wierzchniej warstwy gruntu na głębokość 10-15cm za pomocą agregatu uprawowego lub wykonanie orki i wyrównanie glebogryzarką powierzchni.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Dowiezienie i rozścielenie 5 cm warstwy ziemi, odpowiedniej do założenia łąki kwietnej.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Wyrównanie terenu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46902">
              <w:rPr>
                <w:rFonts w:asciiTheme="minorHAnsi" w:eastAsia="Calibri" w:hAnsiTheme="minorHAnsi" w:cstheme="minorHAnsi"/>
                <w:b/>
                <w:iCs/>
                <w:sz w:val="20"/>
                <w:szCs w:val="20"/>
              </w:rPr>
              <w:t>Założenie łąki kwietnej: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Mieszanka nasion wielogatunkowa o różnych wymaganiach, mieszanka musi zawierać nasiona roślin pochodzących z upraw na terenach leżących w podobnej strefie klimatycznej, np.: </w:t>
            </w: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Złocień zwyczajny, Komonica zwyczajna , Firletka poszarpana , Jaskier ostry , Jaskier wielokwiatowy , Świerzbnica polna , Wyka ptasia </w:t>
            </w:r>
            <w:proofErr w:type="spellStart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Vicia</w:t>
            </w:r>
            <w:proofErr w:type="spellEnd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>cracca</w:t>
            </w:r>
            <w:proofErr w:type="spellEnd"/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 lub kosmata , Wyka brudnożółta , Kozibród łąkowy , Krwawnik pospolity , Chaber austriacki , Chaber łąkowy , Marchew dzika , Brodawnik zwyczajny , Bukwica pospolita,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Mieszanka nie może zawierać w składzie więcej niż 10% traw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Żaden z zastosowanych w mieszkance gatunków nie może przekraczać 15% całkowitej masy mieszanki.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Mieszankę należy wysiać w ilości 3g/m</w:t>
            </w:r>
            <w:r w:rsidRPr="00746902">
              <w:rPr>
                <w:rFonts w:asciiTheme="minorHAnsi" w:hAnsiTheme="minorHAnsi" w:cstheme="minorHAnsi"/>
                <w:bCs/>
                <w:sz w:val="20"/>
                <w:szCs w:val="20"/>
                <w:vertAlign w:val="superscript"/>
              </w:rPr>
              <w:t>2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- Po wysiewie nasion teren należy zwałować lekkim wałem do trawy</w:t>
            </w:r>
          </w:p>
          <w:p w:rsidR="00EC6436" w:rsidRPr="00746902" w:rsidRDefault="00EC6436" w:rsidP="0074690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Cs/>
                <w:sz w:val="20"/>
                <w:szCs w:val="20"/>
              </w:rPr>
              <w:t>Podlewanie w zależności od potrzeb.</w:t>
            </w:r>
          </w:p>
        </w:tc>
      </w:tr>
      <w:tr w:rsidR="00EC6436" w:rsidRPr="00746902" w:rsidTr="00FB4537">
        <w:trPr>
          <w:trHeight w:val="285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25.</w:t>
            </w:r>
          </w:p>
        </w:tc>
        <w:tc>
          <w:tcPr>
            <w:tcW w:w="2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436" w:rsidRPr="00746902" w:rsidRDefault="00EC6436" w:rsidP="00FB453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>Koszenie łąki kwietnej</w:t>
            </w:r>
            <w:r w:rsidR="00126DF8" w:rsidRPr="0074690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(dot. poz. I)</w:t>
            </w:r>
          </w:p>
        </w:tc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436" w:rsidRPr="00746902" w:rsidRDefault="001E271B" w:rsidP="001E271B">
            <w:pPr>
              <w:tabs>
                <w:tab w:val="left" w:pos="284"/>
              </w:tabs>
              <w:suppressAutoHyphens w:val="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46902">
              <w:rPr>
                <w:rFonts w:asciiTheme="minorHAnsi" w:hAnsiTheme="minorHAnsi" w:cstheme="minorHAnsi"/>
                <w:sz w:val="20"/>
                <w:szCs w:val="20"/>
              </w:rPr>
              <w:t xml:space="preserve">Prace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zostaną wykonane w terminach ustalanych w zleceniach przez Zamawiającego w zależności od potrzeb, maksymalnie do 30 dni, od zlecenia prac.</w:t>
            </w:r>
            <w:r w:rsidR="00D752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6436" w:rsidRPr="00746902">
              <w:rPr>
                <w:rFonts w:asciiTheme="minorHAnsi" w:hAnsiTheme="minorHAnsi" w:cstheme="minorHAnsi"/>
                <w:sz w:val="20"/>
                <w:szCs w:val="20"/>
              </w:rPr>
              <w:t>Pokos należy usunąć bezpośrednio po koszeniu. Wywóz pokosu należy wykonywać na bieżąco, najpóźniej następnego dnia od dnia spryzmowania, niedopuszczalne jest gromadzenie pokosu na terenie.</w:t>
            </w:r>
          </w:p>
        </w:tc>
      </w:tr>
    </w:tbl>
    <w:p w:rsidR="008F4BD2" w:rsidRPr="00746902" w:rsidRDefault="008F4BD2" w:rsidP="008F4BD2">
      <w:pPr>
        <w:rPr>
          <w:rFonts w:asciiTheme="minorHAnsi" w:hAnsiTheme="minorHAnsi" w:cstheme="minorHAnsi"/>
          <w:sz w:val="20"/>
          <w:szCs w:val="20"/>
        </w:rPr>
      </w:pPr>
    </w:p>
    <w:p w:rsidR="00746902" w:rsidRPr="00746902" w:rsidRDefault="00746902">
      <w:pPr>
        <w:rPr>
          <w:rFonts w:asciiTheme="minorHAnsi" w:hAnsiTheme="minorHAnsi" w:cstheme="minorHAnsi"/>
          <w:sz w:val="20"/>
          <w:szCs w:val="20"/>
        </w:rPr>
      </w:pPr>
    </w:p>
    <w:sectPr w:rsidR="00746902" w:rsidRPr="00746902" w:rsidSect="00B31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208"/>
        </w:tabs>
        <w:ind w:left="928" w:hanging="360"/>
      </w:pPr>
      <w:rPr>
        <w:rFonts w:ascii="Symbol" w:hAnsi="Symbol" w:cs="Symbol" w:hint="default"/>
      </w:rPr>
    </w:lvl>
  </w:abstractNum>
  <w:abstractNum w:abstractNumId="1" w15:restartNumberingAfterBreak="0">
    <w:nsid w:val="1E5F694C"/>
    <w:multiLevelType w:val="hybridMultilevel"/>
    <w:tmpl w:val="68948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A15B1"/>
    <w:multiLevelType w:val="hybridMultilevel"/>
    <w:tmpl w:val="A2CAAD9C"/>
    <w:lvl w:ilvl="0" w:tplc="04150001">
      <w:start w:val="1"/>
      <w:numFmt w:val="bullet"/>
      <w:lvlText w:val=""/>
      <w:lvlJc w:val="left"/>
      <w:pPr>
        <w:ind w:left="14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3" w15:restartNumberingAfterBreak="0">
    <w:nsid w:val="7E0716E1"/>
    <w:multiLevelType w:val="hybridMultilevel"/>
    <w:tmpl w:val="DA50D642"/>
    <w:lvl w:ilvl="0" w:tplc="724C4C92">
      <w:start w:val="1"/>
      <w:numFmt w:val="decimal"/>
      <w:lvlText w:val="%1."/>
      <w:lvlJc w:val="left"/>
      <w:pPr>
        <w:ind w:left="689" w:hanging="360"/>
      </w:pPr>
      <w:rPr>
        <w:rFonts w:asciiTheme="minorHAnsi" w:eastAsia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BD2"/>
    <w:rsid w:val="000444FF"/>
    <w:rsid w:val="000B0FC5"/>
    <w:rsid w:val="00126DF8"/>
    <w:rsid w:val="00165AA4"/>
    <w:rsid w:val="001E271B"/>
    <w:rsid w:val="002B56DA"/>
    <w:rsid w:val="00385A0B"/>
    <w:rsid w:val="005E3757"/>
    <w:rsid w:val="005F7596"/>
    <w:rsid w:val="006167C4"/>
    <w:rsid w:val="007465DC"/>
    <w:rsid w:val="00746902"/>
    <w:rsid w:val="007E2CE3"/>
    <w:rsid w:val="008007F3"/>
    <w:rsid w:val="008F4BD2"/>
    <w:rsid w:val="009775EF"/>
    <w:rsid w:val="009F5F2D"/>
    <w:rsid w:val="00B2514C"/>
    <w:rsid w:val="00B31D1D"/>
    <w:rsid w:val="00B908E6"/>
    <w:rsid w:val="00C064EB"/>
    <w:rsid w:val="00C25504"/>
    <w:rsid w:val="00C61786"/>
    <w:rsid w:val="00C90837"/>
    <w:rsid w:val="00D75237"/>
    <w:rsid w:val="00D97E82"/>
    <w:rsid w:val="00DC3C03"/>
    <w:rsid w:val="00E720CD"/>
    <w:rsid w:val="00E9146B"/>
    <w:rsid w:val="00EC6436"/>
    <w:rsid w:val="00FB1B69"/>
    <w:rsid w:val="00FC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16048-401A-4855-BF13-5B3E644E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4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4B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2968</Words>
  <Characters>17811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msk</dc:creator>
  <cp:lastModifiedBy>Monika Szkuta</cp:lastModifiedBy>
  <cp:revision>2</cp:revision>
  <cp:lastPrinted>2019-09-27T07:31:00Z</cp:lastPrinted>
  <dcterms:created xsi:type="dcterms:W3CDTF">2020-10-07T12:13:00Z</dcterms:created>
  <dcterms:modified xsi:type="dcterms:W3CDTF">2020-10-07T12:13:00Z</dcterms:modified>
</cp:coreProperties>
</file>