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64422C">
        <w:rPr>
          <w:rFonts w:ascii="Arial" w:hAnsi="Arial" w:cs="Arial"/>
          <w:color w:val="000000"/>
        </w:rPr>
        <w:t>03.01.2022r.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Pr="004C7DA2" w:rsidRDefault="00DD0702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30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czerwca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6E52ED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1D502A">
        <w:rPr>
          <w:rFonts w:ascii="Arial" w:hAnsi="Arial" w:cs="Arial"/>
        </w:rPr>
        <w:t>25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stycznia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B6B45">
        <w:rPr>
          <w:rFonts w:ascii="Arial" w:hAnsi="Arial" w:cs="Arial"/>
          <w:sz w:val="24"/>
          <w:szCs w:val="24"/>
        </w:rPr>
        <w:t>IV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28 stycznia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AB6B45" w:rsidRPr="003650C5" w:rsidRDefault="00AB6B45" w:rsidP="00AB6B45">
      <w:pPr>
        <w:pStyle w:val="Default"/>
        <w:spacing w:line="23" w:lineRule="atLeast"/>
        <w:ind w:left="684"/>
        <w:jc w:val="both"/>
      </w:pP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lastRenderedPageBreak/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2F6D51" w:rsidRPr="002450AD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AB6B45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20</w:t>
      </w:r>
      <w:r w:rsidR="002F6D51">
        <w:rPr>
          <w:rFonts w:ascii="Arial" w:hAnsi="Arial" w:cs="Arial"/>
          <w:sz w:val="24"/>
          <w:szCs w:val="24"/>
        </w:rPr>
        <w:t xml:space="preserve">21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AB6B45">
        <w:rPr>
          <w:rFonts w:ascii="Arial" w:hAnsi="Arial" w:cs="Arial"/>
          <w:sz w:val="24"/>
          <w:szCs w:val="24"/>
        </w:rPr>
        <w:t xml:space="preserve"> 220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AB6B45">
        <w:rPr>
          <w:rFonts w:ascii="Arial" w:hAnsi="Arial" w:cs="Arial"/>
          <w:sz w:val="24"/>
          <w:szCs w:val="24"/>
        </w:rPr>
        <w:t>dwieście dwadzieścia tysięcy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FD20AE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AB6B45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lastRenderedPageBreak/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6E52ED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lastRenderedPageBreak/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3A" w:rsidRDefault="0021543A" w:rsidP="006D7F46">
      <w:r>
        <w:separator/>
      </w:r>
    </w:p>
  </w:endnote>
  <w:endnote w:type="continuationSeparator" w:id="0">
    <w:p w:rsidR="0021543A" w:rsidRDefault="0021543A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2C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3A" w:rsidRDefault="0021543A" w:rsidP="006D7F46">
      <w:r>
        <w:separator/>
      </w:r>
    </w:p>
  </w:footnote>
  <w:footnote w:type="continuationSeparator" w:id="0">
    <w:p w:rsidR="0021543A" w:rsidRDefault="0021543A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6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7795D"/>
    <w:rsid w:val="004A36D1"/>
    <w:rsid w:val="00525EF4"/>
    <w:rsid w:val="00574B8B"/>
    <w:rsid w:val="0059374A"/>
    <w:rsid w:val="005A5D6F"/>
    <w:rsid w:val="005E1900"/>
    <w:rsid w:val="005F7816"/>
    <w:rsid w:val="00621641"/>
    <w:rsid w:val="0064422C"/>
    <w:rsid w:val="00651593"/>
    <w:rsid w:val="006D7F46"/>
    <w:rsid w:val="006E52ED"/>
    <w:rsid w:val="007103B1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31A8E"/>
    <w:rsid w:val="00A91236"/>
    <w:rsid w:val="00AB6B45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90797"/>
    <w:rsid w:val="00EA796E"/>
    <w:rsid w:val="00EB2177"/>
    <w:rsid w:val="00F15EEC"/>
    <w:rsid w:val="00F81BC8"/>
    <w:rsid w:val="00F8489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6167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2068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8</cp:revision>
  <cp:lastPrinted>2022-01-03T10:35:00Z</cp:lastPrinted>
  <dcterms:created xsi:type="dcterms:W3CDTF">2022-01-03T10:28:00Z</dcterms:created>
  <dcterms:modified xsi:type="dcterms:W3CDTF">2022-01-03T12:52:00Z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