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B538E9">
        <w:rPr>
          <w:rFonts w:ascii="Arial" w:hAnsi="Arial" w:cs="Arial"/>
          <w:color w:val="000000"/>
        </w:rPr>
        <w:t>16 listopada 2023 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latach 2024-2025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</w:t>
      </w:r>
      <w:r w:rsidR="009F5488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F5488">
        <w:rPr>
          <w:rFonts w:ascii="Arial" w:hAnsi="Arial" w:cs="Arial"/>
          <w:sz w:val="24"/>
          <w:szCs w:val="24"/>
        </w:rPr>
        <w:t>571</w:t>
      </w:r>
      <w:r w:rsidR="005F7816"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</w:t>
      </w:r>
      <w:r w:rsidR="00CC5EA7">
        <w:rPr>
          <w:rFonts w:ascii="Arial" w:hAnsi="Arial" w:cs="Arial"/>
          <w:sz w:val="24"/>
          <w:szCs w:val="24"/>
        </w:rPr>
        <w:t>2</w:t>
      </w:r>
      <w:r w:rsidR="00D93BC4">
        <w:rPr>
          <w:rFonts w:ascii="Arial" w:hAnsi="Arial" w:cs="Arial"/>
          <w:sz w:val="24"/>
          <w:szCs w:val="24"/>
        </w:rPr>
        <w:t>3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673E5A" w:rsidRPr="002450AD" w:rsidRDefault="00673E5A" w:rsidP="00673E5A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Pr="00673E5A" w:rsidRDefault="00673E5A" w:rsidP="008177FA">
      <w:pPr>
        <w:rPr>
          <w:rFonts w:ascii="Arial" w:hAnsi="Arial" w:cs="Arial"/>
          <w:b/>
          <w:sz w:val="24"/>
          <w:szCs w:val="24"/>
        </w:rPr>
      </w:pPr>
      <w:r w:rsidRPr="00673E5A">
        <w:rPr>
          <w:rFonts w:ascii="Arial" w:hAnsi="Arial" w:cs="Arial"/>
          <w:b/>
          <w:sz w:val="24"/>
          <w:szCs w:val="24"/>
        </w:rPr>
        <w:t>Umowa z podmiotem wybranym w drodze konkursu zostanie podpisana pod warunkiem, że Rada Miejska w budż</w:t>
      </w:r>
      <w:r>
        <w:rPr>
          <w:rFonts w:ascii="Arial" w:hAnsi="Arial" w:cs="Arial"/>
          <w:b/>
          <w:sz w:val="24"/>
          <w:szCs w:val="24"/>
        </w:rPr>
        <w:t xml:space="preserve">ecie na lata </w:t>
      </w:r>
      <w:r w:rsidRPr="00673E5A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 xml:space="preserve"> i 2025</w:t>
      </w:r>
      <w:r w:rsidRPr="00673E5A">
        <w:rPr>
          <w:rFonts w:ascii="Arial" w:hAnsi="Arial" w:cs="Arial"/>
          <w:b/>
          <w:sz w:val="24"/>
          <w:szCs w:val="24"/>
        </w:rPr>
        <w:t xml:space="preserve"> zabezpieczy środki finansowe na realizację niniejszych zadań. </w:t>
      </w:r>
    </w:p>
    <w:p w:rsidR="00673E5A" w:rsidRPr="008177FA" w:rsidRDefault="00673E5A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</w:t>
      </w:r>
      <w:r w:rsidR="009F5488">
        <w:rPr>
          <w:rFonts w:ascii="Arial" w:hAnsi="Arial" w:cs="Arial"/>
        </w:rPr>
        <w:t>24-2025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Default="000E61EE" w:rsidP="000E61E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Zadania z zakresu: </w:t>
      </w:r>
      <w:r w:rsidR="009F5488">
        <w:rPr>
          <w:rFonts w:ascii="Arial" w:hAnsi="Arial" w:cs="Arial"/>
          <w:b/>
          <w:sz w:val="24"/>
          <w:szCs w:val="24"/>
        </w:rPr>
        <w:t>pozostała działalność w zakresie pomocy społecznej</w:t>
      </w:r>
      <w:r w:rsidRPr="000E61EE">
        <w:rPr>
          <w:rFonts w:ascii="Arial" w:hAnsi="Arial" w:cs="Arial"/>
          <w:b/>
          <w:sz w:val="24"/>
          <w:szCs w:val="24"/>
        </w:rPr>
        <w:t xml:space="preserve"> – </w:t>
      </w:r>
    </w:p>
    <w:p w:rsidR="009F5488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2024 rok,</w:t>
      </w:r>
    </w:p>
    <w:p w:rsidR="009F5488" w:rsidRPr="000E61EE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2025 rok.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Cel: </w:t>
      </w:r>
      <w:r w:rsidR="00DD7F82">
        <w:rPr>
          <w:rFonts w:ascii="Arial" w:hAnsi="Arial" w:cs="Arial"/>
          <w:sz w:val="24"/>
          <w:szCs w:val="24"/>
        </w:rPr>
        <w:t>wsparcie osób ubogich oraz dotkniętych bezdomnością</w:t>
      </w:r>
      <w:r w:rsidR="009F5488">
        <w:rPr>
          <w:rFonts w:ascii="Arial" w:hAnsi="Arial" w:cs="Arial"/>
          <w:sz w:val="24"/>
          <w:szCs w:val="24"/>
        </w:rPr>
        <w:t>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DD7F82" w:rsidRPr="00DD7F82" w:rsidRDefault="00DD7F82" w:rsidP="00DD7F82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Wspieranie usług pielęgnacyjnych oraz opieka i usługi </w:t>
      </w:r>
      <w:proofErr w:type="spellStart"/>
      <w:r>
        <w:rPr>
          <w:rFonts w:ascii="Arial" w:hAnsi="Arial" w:cs="Arial"/>
          <w:sz w:val="24"/>
          <w:szCs w:val="24"/>
        </w:rPr>
        <w:t>sanitarno</w:t>
      </w:r>
      <w:proofErr w:type="spellEnd"/>
      <w:r>
        <w:rPr>
          <w:rFonts w:ascii="Arial" w:hAnsi="Arial" w:cs="Arial"/>
          <w:sz w:val="24"/>
          <w:szCs w:val="24"/>
        </w:rPr>
        <w:t xml:space="preserve"> – higieniczne z wykorzystaniem    łaźni.</w:t>
      </w:r>
    </w:p>
    <w:p w:rsidR="000E61EE" w:rsidRPr="000E61EE" w:rsidRDefault="000E61EE" w:rsidP="000E61E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61EE" w:rsidRPr="009F5488" w:rsidRDefault="0034607C" w:rsidP="00FC18A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F5488">
        <w:rPr>
          <w:rFonts w:ascii="Arial" w:hAnsi="Arial" w:cs="Arial"/>
          <w:b/>
          <w:color w:val="0D0D0D" w:themeColor="text1" w:themeTint="F2"/>
          <w:sz w:val="24"/>
          <w:szCs w:val="24"/>
        </w:rPr>
        <w:t>Zadanie</w:t>
      </w:r>
      <w:r w:rsidR="000E61EE" w:rsidRPr="009F548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 zakresu: </w:t>
      </w:r>
      <w:r w:rsidR="009F5488">
        <w:rPr>
          <w:rFonts w:ascii="Arial" w:hAnsi="Arial" w:cs="Arial"/>
          <w:b/>
          <w:sz w:val="24"/>
          <w:szCs w:val="24"/>
        </w:rPr>
        <w:t>rehabilitacja zawodowa i społeczna osób z niepełnosprawnościami</w:t>
      </w:r>
      <w:r w:rsidR="006945C0" w:rsidRPr="009F5488">
        <w:rPr>
          <w:rFonts w:ascii="Arial" w:hAnsi="Arial" w:cs="Arial"/>
          <w:b/>
          <w:sz w:val="24"/>
          <w:szCs w:val="24"/>
        </w:rPr>
        <w:t xml:space="preserve"> – </w:t>
      </w:r>
    </w:p>
    <w:p w:rsidR="009F5488" w:rsidRDefault="004F6B1B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165 000</w:t>
      </w:r>
      <w:r w:rsidR="009F5488">
        <w:rPr>
          <w:rFonts w:ascii="Arial" w:hAnsi="Arial" w:cs="Arial"/>
          <w:b/>
          <w:sz w:val="24"/>
          <w:szCs w:val="24"/>
        </w:rPr>
        <w:t>,00 zł – 2024 rok,</w:t>
      </w:r>
    </w:p>
    <w:p w:rsidR="009F5488" w:rsidRPr="000E61EE" w:rsidRDefault="004F6B1B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165 000</w:t>
      </w:r>
      <w:r w:rsidR="009F5488">
        <w:rPr>
          <w:rFonts w:ascii="Arial" w:hAnsi="Arial" w:cs="Arial"/>
          <w:b/>
          <w:sz w:val="24"/>
          <w:szCs w:val="24"/>
        </w:rPr>
        <w:t>,00 zł – 2025 rok.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="004F6B1B">
        <w:rPr>
          <w:rFonts w:ascii="Arial" w:hAnsi="Arial" w:cs="Arial"/>
          <w:color w:val="0D0D0D" w:themeColor="text1" w:themeTint="F2"/>
          <w:sz w:val="24"/>
          <w:szCs w:val="24"/>
        </w:rPr>
        <w:t>wsparcie działań na rzecz osób z niepełnosprawnościami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DD7F82" w:rsidRPr="000E61EE" w:rsidRDefault="00DD7F82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D7F82">
        <w:rPr>
          <w:rFonts w:ascii="Arial" w:hAnsi="Arial" w:cs="Arial"/>
          <w:color w:val="0D0D0D" w:themeColor="text1" w:themeTint="F2"/>
          <w:sz w:val="24"/>
          <w:szCs w:val="24"/>
        </w:rPr>
        <w:t>Aktywizacja społeczna i zawodowa, wspieranie organizacji zajęć rehabilitacyjnych.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Wspieranie działań na rzecz zajęć – lekcji integracyjnych dla dzieci i młodzieży                                                  z niepełnosprawnościami z młodzieżą szkół publicznych Gminy Piaseczno.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D7F82" w:rsidRP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                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C53026">
        <w:rPr>
          <w:rFonts w:ascii="Arial" w:hAnsi="Arial" w:cs="Arial"/>
          <w:sz w:val="24"/>
          <w:szCs w:val="24"/>
        </w:rPr>
        <w:t>t.j</w:t>
      </w:r>
      <w:proofErr w:type="spellEnd"/>
      <w:r w:rsidR="00C53026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D93BC4">
        <w:rPr>
          <w:rFonts w:ascii="Arial" w:hAnsi="Arial" w:cs="Arial"/>
          <w:sz w:val="24"/>
          <w:szCs w:val="24"/>
        </w:rPr>
        <w:t>23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            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</w:t>
      </w:r>
      <w:proofErr w:type="spellStart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ankesu</w:t>
      </w:r>
      <w:proofErr w:type="spellEnd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F16D66">
        <w:rPr>
          <w:rFonts w:ascii="Arial" w:hAnsi="Arial" w:cs="Arial"/>
          <w:b/>
          <w:sz w:val="24"/>
          <w:szCs w:val="24"/>
        </w:rPr>
        <w:t xml:space="preserve"> od 01 stycznia 2024 r.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367CB5">
        <w:rPr>
          <w:rFonts w:ascii="Arial" w:hAnsi="Arial" w:cs="Arial"/>
          <w:b/>
          <w:sz w:val="24"/>
          <w:szCs w:val="24"/>
        </w:rPr>
        <w:t>5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16D66">
        <w:rPr>
          <w:rFonts w:ascii="Arial" w:hAnsi="Arial" w:cs="Arial"/>
          <w:b/>
          <w:sz w:val="24"/>
          <w:szCs w:val="24"/>
        </w:rPr>
        <w:t>r</w:t>
      </w:r>
      <w:r w:rsidRPr="0047795D">
        <w:rPr>
          <w:rFonts w:ascii="Arial" w:hAnsi="Arial" w:cs="Arial"/>
          <w:b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lastRenderedPageBreak/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549B2">
        <w:rPr>
          <w:rFonts w:ascii="Arial" w:hAnsi="Arial" w:cs="Arial"/>
          <w:sz w:val="24"/>
          <w:szCs w:val="24"/>
        </w:rPr>
        <w:t>1304 ze zm.</w:t>
      </w:r>
      <w:r>
        <w:rPr>
          <w:rFonts w:ascii="Arial" w:hAnsi="Arial" w:cs="Arial"/>
          <w:sz w:val="24"/>
          <w:szCs w:val="24"/>
        </w:rPr>
        <w:t>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1304 ze zm.</w:t>
      </w:r>
      <w:r w:rsidRPr="0007449B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lastRenderedPageBreak/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t>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C84935" w:rsidRPr="00C84935" w:rsidRDefault="00C84935" w:rsidP="00C84935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6E544E">
        <w:rPr>
          <w:rFonts w:ascii="Arial" w:hAnsi="Arial" w:cs="Arial"/>
          <w:b/>
          <w:sz w:val="24"/>
          <w:szCs w:val="24"/>
        </w:rPr>
        <w:t>18.</w:t>
      </w:r>
      <w:r w:rsidR="00367CB5">
        <w:rPr>
          <w:rFonts w:ascii="Arial" w:hAnsi="Arial" w:cs="Arial"/>
          <w:b/>
          <w:sz w:val="24"/>
          <w:szCs w:val="24"/>
        </w:rPr>
        <w:t>12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44532D">
        <w:rPr>
          <w:rFonts w:ascii="Arial" w:hAnsi="Arial" w:cs="Arial"/>
          <w:b/>
          <w:sz w:val="24"/>
          <w:szCs w:val="24"/>
        </w:rPr>
        <w:t>3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Pr="00DD0D1D">
        <w:rPr>
          <w:rFonts w:ascii="Arial" w:hAnsi="Arial" w:cs="Arial"/>
          <w:b/>
          <w:sz w:val="24"/>
          <w:szCs w:val="24"/>
        </w:rPr>
        <w:t xml:space="preserve"> adnotacją V</w:t>
      </w:r>
      <w:r w:rsidR="007F034A">
        <w:rPr>
          <w:rFonts w:ascii="Arial" w:hAnsi="Arial" w:cs="Arial"/>
          <w:b/>
          <w:sz w:val="24"/>
          <w:szCs w:val="24"/>
        </w:rPr>
        <w:t>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1F533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367CB5">
        <w:rPr>
          <w:rFonts w:ascii="Arial" w:hAnsi="Arial" w:cs="Arial"/>
          <w:sz w:val="24"/>
          <w:szCs w:val="24"/>
        </w:rPr>
        <w:t>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7CB5">
        <w:rPr>
          <w:rFonts w:ascii="Arial" w:hAnsi="Arial" w:cs="Arial"/>
          <w:sz w:val="24"/>
          <w:szCs w:val="24"/>
        </w:rPr>
        <w:t>571).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83C28" w:rsidRDefault="00483C28" w:rsidP="00483C28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>3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>15 000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,00zł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 i 155 000,00zł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(słownie: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sto siedemdziesiąt tysięcy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Pr="003D5A06" w:rsidRDefault="004A36D1" w:rsidP="00367CB5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  <w:r w:rsidR="00367CB5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962B5B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D5A06">
        <w:rPr>
          <w:rFonts w:ascii="Arial" w:hAnsi="Arial" w:cs="Arial"/>
          <w:sz w:val="24"/>
          <w:szCs w:val="24"/>
        </w:rPr>
        <w:t>64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3D5A06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367CB5">
        <w:rPr>
          <w:rFonts w:ascii="Arial" w:hAnsi="Arial" w:cs="Arial"/>
          <w:sz w:val="24"/>
          <w:szCs w:val="24"/>
        </w:rPr>
        <w:t>i Mirosława Goch te</w:t>
      </w:r>
      <w:r w:rsidR="00D93BC4">
        <w:rPr>
          <w:rFonts w:ascii="Arial" w:hAnsi="Arial" w:cs="Arial"/>
          <w:sz w:val="24"/>
          <w:szCs w:val="24"/>
        </w:rPr>
        <w:t>l</w:t>
      </w:r>
      <w:r w:rsidR="00367CB5">
        <w:rPr>
          <w:rFonts w:ascii="Arial" w:hAnsi="Arial" w:cs="Arial"/>
          <w:sz w:val="24"/>
          <w:szCs w:val="24"/>
        </w:rPr>
        <w:t>. (0-22) 70 17 636, pok. Nr 67, w godz. 9.00 – 14.00</w:t>
      </w:r>
    </w:p>
    <w:p w:rsidR="00BE027D" w:rsidRDefault="00BE027D" w:rsidP="00367CB5">
      <w:pPr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0516CB" w:rsidRDefault="000516CB" w:rsidP="000516CB">
      <w:pPr>
        <w:jc w:val="center"/>
      </w:pPr>
      <w:r>
        <w:rPr>
          <w:b/>
        </w:rPr>
        <w:t xml:space="preserve">                                                                    </w:t>
      </w:r>
      <w:r>
        <w:t>Z up. Burmistrza</w:t>
      </w:r>
    </w:p>
    <w:p w:rsidR="000516CB" w:rsidRDefault="000516CB" w:rsidP="000516CB">
      <w:pPr>
        <w:jc w:val="center"/>
        <w:rPr>
          <w:b/>
        </w:rPr>
      </w:pPr>
      <w:r>
        <w:t xml:space="preserve">                                                                     Miasta i Gminy Piaseczno</w:t>
      </w:r>
    </w:p>
    <w:p w:rsidR="000516CB" w:rsidRDefault="000516CB" w:rsidP="000516CB">
      <w:pPr>
        <w:jc w:val="center"/>
        <w:rPr>
          <w:b/>
        </w:rPr>
      </w:pPr>
      <w:r>
        <w:rPr>
          <w:b/>
        </w:rPr>
        <w:t xml:space="preserve">                                                                    mgr Hanna Kułakowska – Michalak</w:t>
      </w:r>
    </w:p>
    <w:p w:rsidR="000516CB" w:rsidRDefault="000516CB" w:rsidP="000516CB">
      <w:pPr>
        <w:jc w:val="center"/>
        <w:rPr>
          <w:b/>
        </w:rPr>
      </w:pPr>
      <w:r>
        <w:rPr>
          <w:b/>
        </w:rPr>
        <w:t xml:space="preserve">                                                                    I Zastępca Burmistrza</w:t>
      </w:r>
    </w:p>
    <w:p w:rsidR="000516CB" w:rsidRDefault="000516CB" w:rsidP="000516CB">
      <w:pPr>
        <w:jc w:val="center"/>
        <w:rPr>
          <w:b/>
        </w:rPr>
      </w:pPr>
      <w:r>
        <w:rPr>
          <w:b/>
        </w:rPr>
        <w:t xml:space="preserve">                                                                  Miasta i Gminy Piaseczno</w:t>
      </w: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752515" w:rsidRDefault="00B409A5" w:rsidP="008177FA">
      <w:pPr>
        <w:spacing w:line="23" w:lineRule="atLeast"/>
        <w:ind w:right="756"/>
        <w:jc w:val="both"/>
        <w:rPr>
          <w:i/>
          <w:sz w:val="18"/>
          <w:szCs w:val="18"/>
        </w:rPr>
      </w:pPr>
      <w:r w:rsidRPr="00752515">
        <w:rPr>
          <w:i/>
          <w:sz w:val="18"/>
          <w:szCs w:val="18"/>
        </w:rPr>
        <w:t>Załącznik</w:t>
      </w:r>
      <w:r w:rsidR="008177FA" w:rsidRPr="00752515">
        <w:rPr>
          <w:i/>
          <w:sz w:val="18"/>
          <w:szCs w:val="18"/>
        </w:rPr>
        <w:t xml:space="preserve"> </w:t>
      </w:r>
      <w:r w:rsidRPr="00752515">
        <w:rPr>
          <w:i/>
          <w:sz w:val="18"/>
          <w:szCs w:val="18"/>
        </w:rPr>
        <w:t>nr</w:t>
      </w:r>
      <w:r w:rsidR="00812CC6" w:rsidRPr="00752515">
        <w:rPr>
          <w:i/>
          <w:sz w:val="18"/>
          <w:szCs w:val="18"/>
        </w:rPr>
        <w:t xml:space="preserve"> 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367CB5">
        <w:rPr>
          <w:rFonts w:ascii="Times New Roman" w:hAnsi="Times New Roman"/>
          <w:sz w:val="22"/>
          <w:szCs w:val="22"/>
        </w:rPr>
        <w:t>4</w:t>
      </w: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627"/>
      </w:tblGrid>
      <w:tr w:rsidR="00B409A5" w:rsidRPr="00206B1E" w:rsidTr="00752515">
        <w:trPr>
          <w:cantSplit/>
        </w:trPr>
        <w:tc>
          <w:tcPr>
            <w:tcW w:w="10768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7229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7229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627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984"/>
      </w:tblGrid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752515" w:rsidRPr="00550AC4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p w:rsidR="00AA209B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:rsidR="00752515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602"/>
      </w:tblGrid>
      <w:tr w:rsidR="00B409A5" w:rsidRPr="00206B1E" w:rsidTr="00752515">
        <w:trPr>
          <w:trHeight w:val="423"/>
        </w:trPr>
        <w:tc>
          <w:tcPr>
            <w:tcW w:w="10768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752515">
        <w:trPr>
          <w:trHeight w:val="401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602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752515">
        <w:trPr>
          <w:trHeight w:val="28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602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2515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8646"/>
        <w:gridCol w:w="567"/>
      </w:tblGrid>
      <w:tr w:rsidR="00B409A5" w:rsidRPr="00E74916" w:rsidTr="00752515">
        <w:trPr>
          <w:cantSplit/>
          <w:trHeight w:val="420"/>
          <w:jc w:val="center"/>
        </w:trPr>
        <w:tc>
          <w:tcPr>
            <w:tcW w:w="10070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trHeight w:val="317"/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lastRenderedPageBreak/>
        <w:t>_________________________________________________________</w:t>
      </w:r>
      <w:r w:rsidR="00C81973">
        <w:rPr>
          <w:b/>
          <w:bCs/>
          <w:szCs w:val="22"/>
        </w:rPr>
        <w:t>____________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752515" w:rsidRDefault="00752515" w:rsidP="008177FA">
      <w:pPr>
        <w:pStyle w:val="Tekstpodstawowy"/>
        <w:spacing w:line="23" w:lineRule="atLeast"/>
        <w:ind w:left="0"/>
      </w:pPr>
    </w:p>
    <w:p w:rsidR="00752515" w:rsidRDefault="00752515" w:rsidP="008177FA">
      <w:pPr>
        <w:pStyle w:val="Tekstpodstawowy"/>
        <w:spacing w:line="23" w:lineRule="atLeast"/>
        <w:ind w:left="0"/>
      </w:pP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124DC6" w:rsidRDefault="00124DC6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752515" w:rsidRDefault="0075251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sectPr w:rsidR="00C45FA6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BD" w:rsidRDefault="00351CBD" w:rsidP="006D7F46">
      <w:r>
        <w:separator/>
      </w:r>
    </w:p>
  </w:endnote>
  <w:endnote w:type="continuationSeparator" w:id="0">
    <w:p w:rsidR="00351CBD" w:rsidRDefault="00351CBD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15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BD" w:rsidRDefault="00351CBD" w:rsidP="006D7F46">
      <w:r>
        <w:separator/>
      </w:r>
    </w:p>
  </w:footnote>
  <w:footnote w:type="continuationSeparator" w:id="0">
    <w:p w:rsidR="00351CBD" w:rsidRDefault="00351CBD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2607"/>
    <w:rsid w:val="00014B34"/>
    <w:rsid w:val="0002420D"/>
    <w:rsid w:val="00026137"/>
    <w:rsid w:val="00043717"/>
    <w:rsid w:val="000516CB"/>
    <w:rsid w:val="00056423"/>
    <w:rsid w:val="00056899"/>
    <w:rsid w:val="000610D3"/>
    <w:rsid w:val="00085190"/>
    <w:rsid w:val="000D73B1"/>
    <w:rsid w:val="000E61EE"/>
    <w:rsid w:val="00103CC1"/>
    <w:rsid w:val="001055E2"/>
    <w:rsid w:val="00124DC6"/>
    <w:rsid w:val="00185AB8"/>
    <w:rsid w:val="001B1FF8"/>
    <w:rsid w:val="001D0695"/>
    <w:rsid w:val="001E0870"/>
    <w:rsid w:val="001E20E7"/>
    <w:rsid w:val="001F5339"/>
    <w:rsid w:val="00212753"/>
    <w:rsid w:val="00235331"/>
    <w:rsid w:val="002450AD"/>
    <w:rsid w:val="00253919"/>
    <w:rsid w:val="00273962"/>
    <w:rsid w:val="002809E0"/>
    <w:rsid w:val="002960BB"/>
    <w:rsid w:val="002F2D47"/>
    <w:rsid w:val="003034B6"/>
    <w:rsid w:val="00311749"/>
    <w:rsid w:val="00335B53"/>
    <w:rsid w:val="0034607C"/>
    <w:rsid w:val="00351CBD"/>
    <w:rsid w:val="003650C5"/>
    <w:rsid w:val="00367CB5"/>
    <w:rsid w:val="00374AF9"/>
    <w:rsid w:val="003B0653"/>
    <w:rsid w:val="003B41E9"/>
    <w:rsid w:val="003C0FBE"/>
    <w:rsid w:val="003C2B43"/>
    <w:rsid w:val="003C737E"/>
    <w:rsid w:val="003D0621"/>
    <w:rsid w:val="003D5A06"/>
    <w:rsid w:val="003F2431"/>
    <w:rsid w:val="003F254B"/>
    <w:rsid w:val="003F3EEE"/>
    <w:rsid w:val="00416905"/>
    <w:rsid w:val="0044532D"/>
    <w:rsid w:val="0047795D"/>
    <w:rsid w:val="00483C28"/>
    <w:rsid w:val="004947A6"/>
    <w:rsid w:val="004A3264"/>
    <w:rsid w:val="004A36D1"/>
    <w:rsid w:val="004C00AB"/>
    <w:rsid w:val="004E63E8"/>
    <w:rsid w:val="004F6B1B"/>
    <w:rsid w:val="00525EF4"/>
    <w:rsid w:val="00530809"/>
    <w:rsid w:val="005510C9"/>
    <w:rsid w:val="00574B8B"/>
    <w:rsid w:val="00592F2A"/>
    <w:rsid w:val="005A174B"/>
    <w:rsid w:val="005A5D6F"/>
    <w:rsid w:val="005A7C91"/>
    <w:rsid w:val="005B52DF"/>
    <w:rsid w:val="005C3FAA"/>
    <w:rsid w:val="005E1900"/>
    <w:rsid w:val="005F7816"/>
    <w:rsid w:val="00605265"/>
    <w:rsid w:val="0061564D"/>
    <w:rsid w:val="00617059"/>
    <w:rsid w:val="00630AA9"/>
    <w:rsid w:val="00637F10"/>
    <w:rsid w:val="00640E45"/>
    <w:rsid w:val="00651593"/>
    <w:rsid w:val="00655387"/>
    <w:rsid w:val="00656844"/>
    <w:rsid w:val="00671818"/>
    <w:rsid w:val="00673E5A"/>
    <w:rsid w:val="00685516"/>
    <w:rsid w:val="006877F3"/>
    <w:rsid w:val="006945C0"/>
    <w:rsid w:val="006B0253"/>
    <w:rsid w:val="006C19B4"/>
    <w:rsid w:val="006C5651"/>
    <w:rsid w:val="006D2C6E"/>
    <w:rsid w:val="006D5944"/>
    <w:rsid w:val="006D7F46"/>
    <w:rsid w:val="006E4415"/>
    <w:rsid w:val="006E544E"/>
    <w:rsid w:val="006F5C95"/>
    <w:rsid w:val="006F776D"/>
    <w:rsid w:val="007103B1"/>
    <w:rsid w:val="00710B17"/>
    <w:rsid w:val="00731793"/>
    <w:rsid w:val="00752515"/>
    <w:rsid w:val="00785F11"/>
    <w:rsid w:val="007B1D3C"/>
    <w:rsid w:val="007B3FD9"/>
    <w:rsid w:val="007B70D8"/>
    <w:rsid w:val="007C50F7"/>
    <w:rsid w:val="007D3103"/>
    <w:rsid w:val="007E231C"/>
    <w:rsid w:val="007F034A"/>
    <w:rsid w:val="007F6011"/>
    <w:rsid w:val="00812CC6"/>
    <w:rsid w:val="008177FA"/>
    <w:rsid w:val="0082160B"/>
    <w:rsid w:val="00861CB9"/>
    <w:rsid w:val="00862816"/>
    <w:rsid w:val="008662D0"/>
    <w:rsid w:val="00866F60"/>
    <w:rsid w:val="008E7C3D"/>
    <w:rsid w:val="009107E9"/>
    <w:rsid w:val="00922A92"/>
    <w:rsid w:val="00935A5A"/>
    <w:rsid w:val="00953FB9"/>
    <w:rsid w:val="00962B5B"/>
    <w:rsid w:val="009A42AD"/>
    <w:rsid w:val="009A7C08"/>
    <w:rsid w:val="009B2765"/>
    <w:rsid w:val="009C2341"/>
    <w:rsid w:val="009F5488"/>
    <w:rsid w:val="00A00EAD"/>
    <w:rsid w:val="00A16DD8"/>
    <w:rsid w:val="00A31A8E"/>
    <w:rsid w:val="00A549B2"/>
    <w:rsid w:val="00A71022"/>
    <w:rsid w:val="00AA209B"/>
    <w:rsid w:val="00AB1546"/>
    <w:rsid w:val="00AD5110"/>
    <w:rsid w:val="00AE25BF"/>
    <w:rsid w:val="00AE3957"/>
    <w:rsid w:val="00AF74F0"/>
    <w:rsid w:val="00B057A4"/>
    <w:rsid w:val="00B11AE9"/>
    <w:rsid w:val="00B165B0"/>
    <w:rsid w:val="00B22FE7"/>
    <w:rsid w:val="00B26044"/>
    <w:rsid w:val="00B26C09"/>
    <w:rsid w:val="00B30847"/>
    <w:rsid w:val="00B409A5"/>
    <w:rsid w:val="00B530B2"/>
    <w:rsid w:val="00B538E9"/>
    <w:rsid w:val="00B755EF"/>
    <w:rsid w:val="00B81C94"/>
    <w:rsid w:val="00B84DB0"/>
    <w:rsid w:val="00B92E10"/>
    <w:rsid w:val="00BB4FA6"/>
    <w:rsid w:val="00BD0119"/>
    <w:rsid w:val="00BD426D"/>
    <w:rsid w:val="00BD43BA"/>
    <w:rsid w:val="00BE027D"/>
    <w:rsid w:val="00C27E3C"/>
    <w:rsid w:val="00C45FA6"/>
    <w:rsid w:val="00C53026"/>
    <w:rsid w:val="00C605E0"/>
    <w:rsid w:val="00C81973"/>
    <w:rsid w:val="00C84935"/>
    <w:rsid w:val="00C943E5"/>
    <w:rsid w:val="00C95194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41F"/>
    <w:rsid w:val="00D76B4C"/>
    <w:rsid w:val="00D93BC4"/>
    <w:rsid w:val="00DB5EDD"/>
    <w:rsid w:val="00DC2AB9"/>
    <w:rsid w:val="00DD0D1D"/>
    <w:rsid w:val="00DD5BEE"/>
    <w:rsid w:val="00DD7F82"/>
    <w:rsid w:val="00DF66C0"/>
    <w:rsid w:val="00E019A2"/>
    <w:rsid w:val="00E02173"/>
    <w:rsid w:val="00E1195B"/>
    <w:rsid w:val="00E14982"/>
    <w:rsid w:val="00E17868"/>
    <w:rsid w:val="00E22512"/>
    <w:rsid w:val="00E27A3A"/>
    <w:rsid w:val="00E31F6F"/>
    <w:rsid w:val="00E44FFF"/>
    <w:rsid w:val="00E7072A"/>
    <w:rsid w:val="00E869E7"/>
    <w:rsid w:val="00E90797"/>
    <w:rsid w:val="00EA796E"/>
    <w:rsid w:val="00EB2177"/>
    <w:rsid w:val="00F00056"/>
    <w:rsid w:val="00F15542"/>
    <w:rsid w:val="00F15EEC"/>
    <w:rsid w:val="00F16D66"/>
    <w:rsid w:val="00F56C14"/>
    <w:rsid w:val="00F641F4"/>
    <w:rsid w:val="00F81BC8"/>
    <w:rsid w:val="00F823ED"/>
    <w:rsid w:val="00FA7D1F"/>
    <w:rsid w:val="00FD20AE"/>
    <w:rsid w:val="00FE5A3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135E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25</cp:revision>
  <cp:lastPrinted>2023-11-17T10:55:00Z</cp:lastPrinted>
  <dcterms:created xsi:type="dcterms:W3CDTF">2023-11-02T11:38:00Z</dcterms:created>
  <dcterms:modified xsi:type="dcterms:W3CDTF">2023-11-17T10:57:00Z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