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9453" w14:textId="77777777" w:rsidR="00BA1250" w:rsidRPr="00F73533" w:rsidRDefault="00BA1250" w:rsidP="00BA1250">
      <w:pPr>
        <w:spacing w:before="480" w:line="360" w:lineRule="auto"/>
        <w:ind w:right="1340"/>
        <w:jc w:val="center"/>
      </w:pPr>
      <w:r w:rsidRPr="00F73533">
        <w:rPr>
          <w:noProof/>
        </w:rPr>
        <w:drawing>
          <wp:inline distT="0" distB="0" distL="0" distR="0" wp14:anchorId="520FFAC5" wp14:editId="4A142DA9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81D89" w14:textId="77777777" w:rsidR="00BA1250" w:rsidRPr="00F73533" w:rsidRDefault="00BA1250" w:rsidP="00BA1250">
      <w:pPr>
        <w:spacing w:before="480" w:line="360" w:lineRule="auto"/>
        <w:jc w:val="right"/>
      </w:pPr>
    </w:p>
    <w:p w14:paraId="36C21039" w14:textId="77777777" w:rsidR="00BA1250" w:rsidRPr="00F73533" w:rsidRDefault="00BA1250" w:rsidP="00BA1250">
      <w:pPr>
        <w:spacing w:before="480" w:line="360" w:lineRule="auto"/>
        <w:jc w:val="right"/>
      </w:pPr>
      <w:r w:rsidRPr="00F73533">
        <w:t>Warszawa, dnia</w:t>
      </w:r>
      <w:r>
        <w:t xml:space="preserve"> </w:t>
      </w:r>
      <w:r w:rsidR="009F3F63">
        <w:t>2</w:t>
      </w:r>
      <w:r w:rsidR="00315978">
        <w:t>7</w:t>
      </w:r>
      <w:r>
        <w:t xml:space="preserve"> maja</w:t>
      </w:r>
      <w:r w:rsidRPr="00F73533">
        <w:t xml:space="preserve"> 202</w:t>
      </w:r>
      <w:r>
        <w:t>4</w:t>
      </w:r>
      <w:r w:rsidRPr="00F73533">
        <w:t xml:space="preserve"> r.</w:t>
      </w:r>
    </w:p>
    <w:p w14:paraId="4DF5337F" w14:textId="77777777" w:rsidR="00BA1250" w:rsidRPr="00F73533" w:rsidRDefault="00BA1250" w:rsidP="00BA1250">
      <w:pPr>
        <w:spacing w:line="360" w:lineRule="auto"/>
        <w:sectPr w:rsidR="00BA1250" w:rsidRPr="00F73533">
          <w:headerReference w:type="even" r:id="rId7"/>
          <w:headerReference w:type="default" r:id="rId8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52C57257" w14:textId="77777777" w:rsidR="00BA1250" w:rsidRPr="00F73533" w:rsidRDefault="00BA1250" w:rsidP="00BA1250">
      <w:pPr>
        <w:pStyle w:val="Tekstpodstawowy"/>
      </w:pPr>
      <w:r w:rsidRPr="00F73533">
        <w:t>PAŃSTWOWA</w:t>
      </w:r>
      <w:r w:rsidRPr="00F73533">
        <w:br/>
        <w:t>KOMISJA WYBORCZA</w:t>
      </w:r>
    </w:p>
    <w:p w14:paraId="7BC06053" w14:textId="77777777" w:rsidR="00BA1250" w:rsidRPr="007F560D" w:rsidRDefault="00BA1250" w:rsidP="00BA1250">
      <w:pPr>
        <w:suppressAutoHyphens/>
        <w:spacing w:before="120" w:line="360" w:lineRule="auto"/>
        <w:ind w:right="6520"/>
        <w:jc w:val="center"/>
      </w:pPr>
      <w:bookmarkStart w:id="0" w:name="_Hlk39499367"/>
      <w:r w:rsidRPr="00C654BF">
        <w:t>ZPOW.571.1</w:t>
      </w:r>
      <w:r w:rsidR="00D8034D">
        <w:t>6</w:t>
      </w:r>
      <w:r>
        <w:t>8.</w:t>
      </w:r>
      <w:r w:rsidRPr="00C654BF">
        <w:t>2024</w:t>
      </w:r>
    </w:p>
    <w:bookmarkEnd w:id="0"/>
    <w:p w14:paraId="1E3C3F80" w14:textId="77777777" w:rsidR="00BA1250" w:rsidRDefault="00BA1250" w:rsidP="00AC2106">
      <w:pPr>
        <w:spacing w:before="360" w:line="360" w:lineRule="auto"/>
        <w:ind w:left="5528"/>
        <w:jc w:val="both"/>
      </w:pPr>
      <w:r w:rsidRPr="00F73533">
        <w:t>Pan</w:t>
      </w:r>
      <w:r w:rsidR="008814EF">
        <w:t>ie i Panowie</w:t>
      </w:r>
    </w:p>
    <w:p w14:paraId="085CC1FB" w14:textId="77777777" w:rsidR="00BA1250" w:rsidRPr="008814EF" w:rsidRDefault="001826D8" w:rsidP="008814EF">
      <w:pPr>
        <w:spacing w:line="360" w:lineRule="auto"/>
        <w:ind w:left="5528"/>
        <w:jc w:val="both"/>
      </w:pPr>
      <w:r>
        <w:t>Komisarze Wyborczy</w:t>
      </w:r>
    </w:p>
    <w:p w14:paraId="698A81AA" w14:textId="77777777" w:rsidR="002A7914" w:rsidRDefault="00157CB2" w:rsidP="002A7914">
      <w:pPr>
        <w:pStyle w:val="Tekstpodstawowywcity"/>
        <w:suppressAutoHyphens/>
        <w:spacing w:before="840"/>
        <w:ind w:firstLine="1134"/>
        <w:rPr>
          <w:szCs w:val="26"/>
        </w:rPr>
      </w:pPr>
      <w:r>
        <w:t>Państwowa Komisja Wyborcza</w:t>
      </w:r>
      <w:r w:rsidR="00315978">
        <w:t xml:space="preserve"> </w:t>
      </w:r>
      <w:r w:rsidR="00AC2694">
        <w:t xml:space="preserve">wyjaśnia, że w przypadku, gdyby </w:t>
      </w:r>
      <w:r w:rsidR="006B0130">
        <w:t xml:space="preserve">po </w:t>
      </w:r>
      <w:r w:rsidR="006B0130" w:rsidRPr="00E9104C">
        <w:rPr>
          <w:szCs w:val="26"/>
        </w:rPr>
        <w:t xml:space="preserve">otwarciu urny </w:t>
      </w:r>
      <w:r w:rsidR="00CE7BF5">
        <w:rPr>
          <w:szCs w:val="26"/>
        </w:rPr>
        <w:t xml:space="preserve">wyborczej </w:t>
      </w:r>
      <w:r w:rsidR="006B0130" w:rsidRPr="00E9104C">
        <w:rPr>
          <w:szCs w:val="26"/>
        </w:rPr>
        <w:t xml:space="preserve">i wyjęciu z niej kart </w:t>
      </w:r>
      <w:r w:rsidR="00CE7BF5">
        <w:rPr>
          <w:szCs w:val="26"/>
        </w:rPr>
        <w:t xml:space="preserve">do głosowania </w:t>
      </w:r>
      <w:r w:rsidR="00AC2694">
        <w:t>obwodowa komisja wyborcza</w:t>
      </w:r>
      <w:r w:rsidR="00E7411E">
        <w:t xml:space="preserve"> </w:t>
      </w:r>
      <w:r w:rsidR="00E7411E" w:rsidRPr="002A7914">
        <w:rPr>
          <w:szCs w:val="26"/>
        </w:rPr>
        <w:t>wyjęła z</w:t>
      </w:r>
      <w:r w:rsidR="002A7914" w:rsidRPr="002A7914">
        <w:rPr>
          <w:szCs w:val="26"/>
        </w:rPr>
        <w:t xml:space="preserve"> </w:t>
      </w:r>
      <w:r w:rsidR="00E7411E" w:rsidRPr="002A7914">
        <w:rPr>
          <w:szCs w:val="26"/>
        </w:rPr>
        <w:t>koperty na kartę do</w:t>
      </w:r>
      <w:r w:rsidR="006B0130">
        <w:rPr>
          <w:szCs w:val="26"/>
        </w:rPr>
        <w:t xml:space="preserve"> </w:t>
      </w:r>
      <w:r w:rsidR="00E7411E" w:rsidRPr="002A7914">
        <w:rPr>
          <w:szCs w:val="26"/>
        </w:rPr>
        <w:t>głosowania więcej niż jedną kartę do głosowania,</w:t>
      </w:r>
      <w:r w:rsidR="00E7411E" w:rsidRPr="00E709B1">
        <w:rPr>
          <w:szCs w:val="26"/>
        </w:rPr>
        <w:t xml:space="preserve"> </w:t>
      </w:r>
      <w:r w:rsidR="002A7914">
        <w:rPr>
          <w:szCs w:val="26"/>
        </w:rPr>
        <w:t xml:space="preserve">o czym mowa w pkt 112 </w:t>
      </w:r>
      <w:proofErr w:type="spellStart"/>
      <w:r w:rsidR="002A7914">
        <w:rPr>
          <w:szCs w:val="26"/>
        </w:rPr>
        <w:t>ppkt</w:t>
      </w:r>
      <w:proofErr w:type="spellEnd"/>
      <w:r w:rsidR="002A7914">
        <w:rPr>
          <w:szCs w:val="26"/>
        </w:rPr>
        <w:t xml:space="preserve"> 2 wytycznych, </w:t>
      </w:r>
      <w:r w:rsidR="00E7411E" w:rsidRPr="00CE7BF5">
        <w:rPr>
          <w:b/>
          <w:szCs w:val="26"/>
        </w:rPr>
        <w:t>komisja nie bierze pod</w:t>
      </w:r>
      <w:r w:rsidR="002A7914" w:rsidRPr="00CE7BF5">
        <w:rPr>
          <w:b/>
          <w:szCs w:val="26"/>
        </w:rPr>
        <w:t xml:space="preserve"> </w:t>
      </w:r>
      <w:r w:rsidR="00E7411E" w:rsidRPr="00CE7BF5">
        <w:rPr>
          <w:b/>
          <w:szCs w:val="26"/>
        </w:rPr>
        <w:t>uwagę żadnej z tych kart przy</w:t>
      </w:r>
      <w:r w:rsidR="006B0130" w:rsidRPr="00CE7BF5">
        <w:rPr>
          <w:b/>
          <w:szCs w:val="26"/>
        </w:rPr>
        <w:t xml:space="preserve"> </w:t>
      </w:r>
      <w:r w:rsidR="00E7411E" w:rsidRPr="00CE7BF5">
        <w:rPr>
          <w:b/>
          <w:szCs w:val="26"/>
        </w:rPr>
        <w:t>ustalaniu wyników głosowania</w:t>
      </w:r>
      <w:r w:rsidR="00E7411E">
        <w:rPr>
          <w:szCs w:val="26"/>
        </w:rPr>
        <w:t xml:space="preserve"> (analogicznie jak ma to</w:t>
      </w:r>
      <w:r w:rsidR="002A7914">
        <w:rPr>
          <w:szCs w:val="26"/>
        </w:rPr>
        <w:t xml:space="preserve"> </w:t>
      </w:r>
      <w:r w:rsidR="00E7411E">
        <w:rPr>
          <w:szCs w:val="26"/>
        </w:rPr>
        <w:t>miejsce w</w:t>
      </w:r>
      <w:r w:rsidR="009F3F63">
        <w:rPr>
          <w:szCs w:val="26"/>
        </w:rPr>
        <w:t> </w:t>
      </w:r>
      <w:r w:rsidR="00E7411E">
        <w:rPr>
          <w:szCs w:val="26"/>
        </w:rPr>
        <w:t>przypadku</w:t>
      </w:r>
      <w:r w:rsidR="00E7411E" w:rsidRPr="00E7411E">
        <w:t xml:space="preserve"> </w:t>
      </w:r>
      <w:r w:rsidR="00E7411E" w:rsidRPr="00E7411E">
        <w:rPr>
          <w:szCs w:val="26"/>
        </w:rPr>
        <w:t>kopert zwrotn</w:t>
      </w:r>
      <w:r w:rsidR="00E7411E">
        <w:rPr>
          <w:szCs w:val="26"/>
        </w:rPr>
        <w:t>ych</w:t>
      </w:r>
      <w:r w:rsidR="00E7411E" w:rsidRPr="00E7411E">
        <w:rPr>
          <w:szCs w:val="26"/>
        </w:rPr>
        <w:t>, w których znajdowała się więcej niż jedna koperta na kartę do głosowania</w:t>
      </w:r>
      <w:r w:rsidR="002A7914">
        <w:rPr>
          <w:szCs w:val="26"/>
        </w:rPr>
        <w:t>, o</w:t>
      </w:r>
      <w:r w:rsidR="006B0130">
        <w:rPr>
          <w:szCs w:val="26"/>
        </w:rPr>
        <w:t xml:space="preserve"> </w:t>
      </w:r>
      <w:r w:rsidR="002A7914">
        <w:rPr>
          <w:szCs w:val="26"/>
        </w:rPr>
        <w:t>czym</w:t>
      </w:r>
      <w:r w:rsidR="006B0130">
        <w:rPr>
          <w:szCs w:val="26"/>
        </w:rPr>
        <w:t xml:space="preserve"> </w:t>
      </w:r>
      <w:r w:rsidR="002A7914">
        <w:rPr>
          <w:szCs w:val="26"/>
        </w:rPr>
        <w:t xml:space="preserve">mowa w </w:t>
      </w:r>
      <w:r w:rsidR="00E7411E">
        <w:rPr>
          <w:szCs w:val="26"/>
        </w:rPr>
        <w:t>§</w:t>
      </w:r>
      <w:r w:rsidR="002A7914">
        <w:rPr>
          <w:szCs w:val="26"/>
        </w:rPr>
        <w:t xml:space="preserve"> </w:t>
      </w:r>
      <w:r w:rsidR="00E7411E">
        <w:rPr>
          <w:szCs w:val="26"/>
        </w:rPr>
        <w:t>2</w:t>
      </w:r>
      <w:r w:rsidR="002A7914">
        <w:rPr>
          <w:szCs w:val="26"/>
        </w:rPr>
        <w:t xml:space="preserve"> </w:t>
      </w:r>
      <w:r w:rsidR="00E7411E">
        <w:rPr>
          <w:szCs w:val="26"/>
        </w:rPr>
        <w:t>ust.</w:t>
      </w:r>
      <w:r w:rsidR="002A7914">
        <w:rPr>
          <w:szCs w:val="26"/>
        </w:rPr>
        <w:t xml:space="preserve"> </w:t>
      </w:r>
      <w:r w:rsidR="00E7411E">
        <w:rPr>
          <w:szCs w:val="26"/>
        </w:rPr>
        <w:t>6 u</w:t>
      </w:r>
      <w:r w:rsidR="00E7411E" w:rsidRPr="00E7411E">
        <w:rPr>
          <w:szCs w:val="26"/>
        </w:rPr>
        <w:t>chwał</w:t>
      </w:r>
      <w:r w:rsidR="00E7411E">
        <w:rPr>
          <w:szCs w:val="26"/>
        </w:rPr>
        <w:t>y</w:t>
      </w:r>
      <w:r w:rsidR="00E7411E" w:rsidRPr="00E7411E">
        <w:rPr>
          <w:szCs w:val="26"/>
        </w:rPr>
        <w:t xml:space="preserve"> nr</w:t>
      </w:r>
      <w:r w:rsidR="00CE7BF5">
        <w:rPr>
          <w:szCs w:val="26"/>
        </w:rPr>
        <w:t> </w:t>
      </w:r>
      <w:r w:rsidR="00E7411E" w:rsidRPr="00E7411E">
        <w:rPr>
          <w:szCs w:val="26"/>
        </w:rPr>
        <w:t>169/2023 Państwowej Komisji Wyborczej z</w:t>
      </w:r>
      <w:r w:rsidR="002A7914">
        <w:rPr>
          <w:szCs w:val="26"/>
        </w:rPr>
        <w:t xml:space="preserve"> </w:t>
      </w:r>
      <w:r w:rsidR="00E7411E" w:rsidRPr="00E7411E">
        <w:rPr>
          <w:szCs w:val="26"/>
        </w:rPr>
        <w:t>dnia 11</w:t>
      </w:r>
      <w:r w:rsidR="006B0130">
        <w:rPr>
          <w:szCs w:val="26"/>
        </w:rPr>
        <w:t xml:space="preserve"> </w:t>
      </w:r>
      <w:r w:rsidR="00E7411E" w:rsidRPr="00E7411E">
        <w:rPr>
          <w:szCs w:val="26"/>
        </w:rPr>
        <w:t xml:space="preserve">września 2023 r. w sprawie sposobu postępowania z kopertami zwrotnymi i pakietami wyborczymi w głosowaniu korespondencyjnym </w:t>
      </w:r>
      <w:r w:rsidR="00E7411E">
        <w:rPr>
          <w:szCs w:val="26"/>
        </w:rPr>
        <w:t xml:space="preserve">– </w:t>
      </w:r>
      <w:r w:rsidR="00E7411E" w:rsidRPr="00E7411E">
        <w:rPr>
          <w:szCs w:val="26"/>
        </w:rPr>
        <w:t>M.P. poz. 1032).</w:t>
      </w:r>
      <w:r w:rsidR="00E7411E">
        <w:rPr>
          <w:szCs w:val="26"/>
        </w:rPr>
        <w:t xml:space="preserve"> </w:t>
      </w:r>
      <w:r w:rsidR="00BA3944">
        <w:rPr>
          <w:szCs w:val="26"/>
        </w:rPr>
        <w:t xml:space="preserve">Oznacza to, że </w:t>
      </w:r>
      <w:r w:rsidR="009F3F63">
        <w:rPr>
          <w:szCs w:val="26"/>
        </w:rPr>
        <w:t xml:space="preserve">tych </w:t>
      </w:r>
      <w:r w:rsidR="00BA3944">
        <w:rPr>
          <w:szCs w:val="26"/>
        </w:rPr>
        <w:t>kart</w:t>
      </w:r>
      <w:r w:rsidR="00BA3944" w:rsidRPr="00BA3944">
        <w:rPr>
          <w:szCs w:val="26"/>
        </w:rPr>
        <w:t xml:space="preserve"> </w:t>
      </w:r>
      <w:r w:rsidR="00BA3944">
        <w:rPr>
          <w:szCs w:val="26"/>
        </w:rPr>
        <w:t>do</w:t>
      </w:r>
      <w:r w:rsidR="006B0130">
        <w:rPr>
          <w:szCs w:val="26"/>
        </w:rPr>
        <w:t xml:space="preserve"> </w:t>
      </w:r>
      <w:r w:rsidR="00BA3944" w:rsidRPr="00BA3944">
        <w:rPr>
          <w:szCs w:val="26"/>
        </w:rPr>
        <w:t>głosowania</w:t>
      </w:r>
      <w:r w:rsidR="00BA3944">
        <w:rPr>
          <w:szCs w:val="26"/>
        </w:rPr>
        <w:t xml:space="preserve"> nie uwzględnia się </w:t>
      </w:r>
      <w:r w:rsidR="006B0130">
        <w:rPr>
          <w:szCs w:val="26"/>
        </w:rPr>
        <w:t xml:space="preserve">również </w:t>
      </w:r>
      <w:r w:rsidR="00BA3944">
        <w:rPr>
          <w:szCs w:val="26"/>
        </w:rPr>
        <w:t xml:space="preserve">w liczbie wskazywanej </w:t>
      </w:r>
      <w:r w:rsidR="00BA3944" w:rsidRPr="00BA3944">
        <w:rPr>
          <w:b/>
          <w:szCs w:val="26"/>
          <w:u w:val="single"/>
        </w:rPr>
        <w:t>w</w:t>
      </w:r>
      <w:r w:rsidR="009F3F63">
        <w:rPr>
          <w:b/>
          <w:szCs w:val="26"/>
          <w:u w:val="single"/>
        </w:rPr>
        <w:t> </w:t>
      </w:r>
      <w:r w:rsidR="00BA3944" w:rsidRPr="00BA3944">
        <w:rPr>
          <w:b/>
          <w:szCs w:val="26"/>
          <w:u w:val="single"/>
        </w:rPr>
        <w:t>punkcie 10a</w:t>
      </w:r>
      <w:r w:rsidR="00BA3944">
        <w:rPr>
          <w:szCs w:val="26"/>
        </w:rPr>
        <w:t xml:space="preserve"> protokołu głosowania.</w:t>
      </w:r>
    </w:p>
    <w:p w14:paraId="019D3B8A" w14:textId="77777777" w:rsidR="00BA3944" w:rsidRDefault="002A7914" w:rsidP="00BA3944">
      <w:pPr>
        <w:pStyle w:val="Tekstpodstawowywcity"/>
        <w:suppressAutoHyphens/>
        <w:spacing w:before="0"/>
        <w:ind w:firstLine="1134"/>
      </w:pPr>
      <w:r>
        <w:rPr>
          <w:szCs w:val="26"/>
        </w:rPr>
        <w:t>Jak wskazano w pkt 112 s</w:t>
      </w:r>
      <w:r w:rsidRPr="00E9104C">
        <w:rPr>
          <w:szCs w:val="26"/>
        </w:rPr>
        <w:t xml:space="preserve">ytuację tę komisja opisuje w </w:t>
      </w:r>
      <w:r w:rsidRPr="00E9104C">
        <w:rPr>
          <w:b/>
          <w:bCs/>
          <w:szCs w:val="26"/>
          <w:u w:val="thick"/>
        </w:rPr>
        <w:t>punkcie 2</w:t>
      </w:r>
      <w:r>
        <w:rPr>
          <w:b/>
          <w:bCs/>
          <w:szCs w:val="26"/>
          <w:u w:val="thick"/>
        </w:rPr>
        <w:t>4</w:t>
      </w:r>
      <w:r w:rsidRPr="002C33A3">
        <w:rPr>
          <w:bCs/>
          <w:szCs w:val="26"/>
        </w:rPr>
        <w:t xml:space="preserve"> </w:t>
      </w:r>
      <w:r w:rsidRPr="00E9104C">
        <w:rPr>
          <w:szCs w:val="26"/>
        </w:rPr>
        <w:t>protokołu głosowania</w:t>
      </w:r>
      <w:r>
        <w:rPr>
          <w:szCs w:val="26"/>
        </w:rPr>
        <w:t>,</w:t>
      </w:r>
      <w:r w:rsidRPr="00E9104C">
        <w:rPr>
          <w:szCs w:val="26"/>
        </w:rPr>
        <w:t xml:space="preserve"> wpisując np. „w jednej kopercie znajdowały się dwie karty do</w:t>
      </w:r>
      <w:r>
        <w:rPr>
          <w:szCs w:val="26"/>
        </w:rPr>
        <w:t xml:space="preserve"> </w:t>
      </w:r>
      <w:r w:rsidRPr="00E9104C">
        <w:rPr>
          <w:szCs w:val="26"/>
        </w:rPr>
        <w:t>głosowania”</w:t>
      </w:r>
      <w:r>
        <w:rPr>
          <w:szCs w:val="26"/>
        </w:rPr>
        <w:t xml:space="preserve"> (</w:t>
      </w:r>
      <w:r w:rsidRPr="00E9104C">
        <w:rPr>
          <w:szCs w:val="26"/>
        </w:rPr>
        <w:t xml:space="preserve">adnotacja </w:t>
      </w:r>
      <w:r w:rsidR="00BA3944">
        <w:rPr>
          <w:szCs w:val="26"/>
        </w:rPr>
        <w:t xml:space="preserve">ta </w:t>
      </w:r>
      <w:r w:rsidRPr="00E9104C">
        <w:rPr>
          <w:szCs w:val="26"/>
        </w:rPr>
        <w:t xml:space="preserve">musi odzwierciedlać zaistniałą sytuację). </w:t>
      </w:r>
    </w:p>
    <w:p w14:paraId="0801DC60" w14:textId="77777777" w:rsidR="00E7411E" w:rsidRPr="00AC2106" w:rsidRDefault="00AC2106" w:rsidP="00AC2106">
      <w:pPr>
        <w:pStyle w:val="Tekstpodstawowywcity"/>
        <w:suppressAutoHyphens/>
        <w:spacing w:before="0"/>
        <w:ind w:firstLine="1134"/>
        <w:rPr>
          <w:b/>
          <w:szCs w:val="26"/>
          <w:u w:val="single"/>
        </w:rPr>
      </w:pPr>
      <w:r>
        <w:rPr>
          <w:szCs w:val="26"/>
        </w:rPr>
        <w:t xml:space="preserve">W związku z tym, że </w:t>
      </w:r>
      <w:r w:rsidR="006B0130">
        <w:rPr>
          <w:szCs w:val="26"/>
        </w:rPr>
        <w:t xml:space="preserve">po nieuwzględnieniu kart do głosowania wyjętych z jednej koperty na kartę do głosowania, jeżeli </w:t>
      </w:r>
      <w:r w:rsidR="006B0130" w:rsidRPr="00BA3944">
        <w:rPr>
          <w:szCs w:val="26"/>
        </w:rPr>
        <w:t>było ich więcej niż</w:t>
      </w:r>
      <w:r w:rsidR="006B0130">
        <w:rPr>
          <w:szCs w:val="26"/>
        </w:rPr>
        <w:t xml:space="preserve"> </w:t>
      </w:r>
      <w:r w:rsidR="006B0130" w:rsidRPr="00BA3944">
        <w:rPr>
          <w:szCs w:val="26"/>
        </w:rPr>
        <w:t>jedna</w:t>
      </w:r>
      <w:r w:rsidR="006B0130">
        <w:rPr>
          <w:szCs w:val="26"/>
        </w:rPr>
        <w:t xml:space="preserve">, </w:t>
      </w:r>
      <w:r>
        <w:rPr>
          <w:szCs w:val="26"/>
        </w:rPr>
        <w:t xml:space="preserve">liczba kart do głosowania </w:t>
      </w:r>
      <w:r w:rsidRPr="00BA3944">
        <w:rPr>
          <w:szCs w:val="26"/>
        </w:rPr>
        <w:t>wyjętych z kopert na kartę do głosowania w</w:t>
      </w:r>
      <w:r>
        <w:rPr>
          <w:szCs w:val="26"/>
        </w:rPr>
        <w:t xml:space="preserve"> </w:t>
      </w:r>
      <w:r w:rsidRPr="00BA3944">
        <w:rPr>
          <w:szCs w:val="26"/>
        </w:rPr>
        <w:t>głosowaniu</w:t>
      </w:r>
      <w:r>
        <w:rPr>
          <w:szCs w:val="26"/>
        </w:rPr>
        <w:t xml:space="preserve"> korespondencyjnym </w:t>
      </w:r>
      <w:r w:rsidR="006B0130">
        <w:rPr>
          <w:szCs w:val="26"/>
        </w:rPr>
        <w:t xml:space="preserve">wskazywana </w:t>
      </w:r>
      <w:r w:rsidR="006B0130" w:rsidRPr="006B0130">
        <w:rPr>
          <w:b/>
          <w:szCs w:val="26"/>
          <w:u w:val="single"/>
        </w:rPr>
        <w:t>w punkcie 10a</w:t>
      </w:r>
      <w:r w:rsidR="006B0130">
        <w:rPr>
          <w:szCs w:val="26"/>
        </w:rPr>
        <w:t xml:space="preserve"> protokołu głosowania </w:t>
      </w:r>
      <w:r>
        <w:rPr>
          <w:szCs w:val="26"/>
        </w:rPr>
        <w:t xml:space="preserve">będzie mniejsza od liczby </w:t>
      </w:r>
      <w:r w:rsidRPr="00E9104C">
        <w:rPr>
          <w:spacing w:val="-1"/>
          <w:szCs w:val="26"/>
        </w:rPr>
        <w:t>kopert na kart</w:t>
      </w:r>
      <w:r>
        <w:rPr>
          <w:spacing w:val="-1"/>
          <w:szCs w:val="26"/>
        </w:rPr>
        <w:t>ę</w:t>
      </w:r>
      <w:r w:rsidRPr="00E9104C">
        <w:rPr>
          <w:spacing w:val="-1"/>
          <w:szCs w:val="26"/>
        </w:rPr>
        <w:t xml:space="preserve"> do</w:t>
      </w:r>
      <w:r w:rsidR="006B0130">
        <w:rPr>
          <w:spacing w:val="-1"/>
          <w:szCs w:val="26"/>
        </w:rPr>
        <w:t> </w:t>
      </w:r>
      <w:r w:rsidRPr="00E9104C">
        <w:rPr>
          <w:spacing w:val="-1"/>
          <w:szCs w:val="26"/>
        </w:rPr>
        <w:t>głosowania wrzuconych do urny</w:t>
      </w:r>
      <w:r w:rsidR="00CE7BF5">
        <w:rPr>
          <w:spacing w:val="-1"/>
          <w:szCs w:val="26"/>
        </w:rPr>
        <w:t xml:space="preserve"> (o ile nie zostaną stwierdzone inne różnice)</w:t>
      </w:r>
      <w:r>
        <w:rPr>
          <w:spacing w:val="-1"/>
          <w:szCs w:val="26"/>
        </w:rPr>
        <w:t xml:space="preserve">, obwodowa </w:t>
      </w:r>
      <w:r w:rsidR="002A7914">
        <w:rPr>
          <w:szCs w:val="26"/>
        </w:rPr>
        <w:t xml:space="preserve">komisja wyborcza </w:t>
      </w:r>
      <w:r w:rsidR="00372BF5">
        <w:rPr>
          <w:szCs w:val="26"/>
        </w:rPr>
        <w:t xml:space="preserve">koniecznie </w:t>
      </w:r>
      <w:r w:rsidR="00E7411E" w:rsidRPr="00E709B1">
        <w:rPr>
          <w:szCs w:val="26"/>
        </w:rPr>
        <w:t>opisuj</w:t>
      </w:r>
      <w:r>
        <w:rPr>
          <w:szCs w:val="26"/>
        </w:rPr>
        <w:t>ę</w:t>
      </w:r>
      <w:r w:rsidR="00E7411E" w:rsidRPr="00E709B1">
        <w:rPr>
          <w:szCs w:val="26"/>
        </w:rPr>
        <w:t xml:space="preserve"> </w:t>
      </w:r>
      <w:r w:rsidR="00372BF5">
        <w:rPr>
          <w:szCs w:val="26"/>
        </w:rPr>
        <w:t xml:space="preserve">przyczynę </w:t>
      </w:r>
      <w:r>
        <w:rPr>
          <w:szCs w:val="26"/>
        </w:rPr>
        <w:t xml:space="preserve">tych </w:t>
      </w:r>
      <w:r w:rsidR="00BA3944">
        <w:rPr>
          <w:szCs w:val="26"/>
        </w:rPr>
        <w:t xml:space="preserve">rozbieżności </w:t>
      </w:r>
      <w:r w:rsidR="00E7411E" w:rsidRPr="00E709B1">
        <w:rPr>
          <w:b/>
          <w:szCs w:val="26"/>
          <w:u w:val="single"/>
        </w:rPr>
        <w:t>w punkcie 17</w:t>
      </w:r>
      <w:r w:rsidR="00E7411E" w:rsidRPr="00E709B1">
        <w:rPr>
          <w:szCs w:val="26"/>
        </w:rPr>
        <w:t xml:space="preserve"> protokołu głosowania</w:t>
      </w:r>
      <w:r w:rsidR="00315978">
        <w:rPr>
          <w:szCs w:val="26"/>
        </w:rPr>
        <w:t xml:space="preserve"> (wpisując adnotację jak wyżej)</w:t>
      </w:r>
      <w:r w:rsidR="002A7914">
        <w:rPr>
          <w:szCs w:val="26"/>
        </w:rPr>
        <w:t>, o czym mowa w pkt 114</w:t>
      </w:r>
      <w:r>
        <w:rPr>
          <w:szCs w:val="26"/>
        </w:rPr>
        <w:t xml:space="preserve"> wytycznych</w:t>
      </w:r>
      <w:r w:rsidR="00E7411E" w:rsidRPr="00E709B1">
        <w:rPr>
          <w:szCs w:val="26"/>
        </w:rPr>
        <w:t>.</w:t>
      </w:r>
      <w:r w:rsidR="00E7411E">
        <w:rPr>
          <w:szCs w:val="26"/>
        </w:rPr>
        <w:t xml:space="preserve"> </w:t>
      </w:r>
    </w:p>
    <w:p w14:paraId="4A700E0A" w14:textId="77777777" w:rsidR="00A5621D" w:rsidRDefault="00372BF5" w:rsidP="00CE7BF5">
      <w:pPr>
        <w:pStyle w:val="Tekstpodstawowywcity"/>
        <w:suppressAutoHyphens/>
        <w:spacing w:before="0"/>
        <w:ind w:firstLine="1134"/>
        <w:rPr>
          <w:szCs w:val="26"/>
        </w:rPr>
      </w:pPr>
      <w:r>
        <w:rPr>
          <w:szCs w:val="26"/>
        </w:rPr>
        <w:t>K</w:t>
      </w:r>
      <w:r w:rsidRPr="00E709B1">
        <w:rPr>
          <w:szCs w:val="26"/>
        </w:rPr>
        <w:t xml:space="preserve">arty do głosowania </w:t>
      </w:r>
      <w:r>
        <w:rPr>
          <w:szCs w:val="26"/>
        </w:rPr>
        <w:t xml:space="preserve">wyjęte z jednej koperty na kartę do głosowania, </w:t>
      </w:r>
      <w:r w:rsidR="00AC2106">
        <w:rPr>
          <w:szCs w:val="26"/>
        </w:rPr>
        <w:t>jeżeli</w:t>
      </w:r>
      <w:r w:rsidR="00AC2106" w:rsidRPr="00BA3944">
        <w:rPr>
          <w:szCs w:val="26"/>
        </w:rPr>
        <w:t xml:space="preserve"> było </w:t>
      </w:r>
      <w:r>
        <w:rPr>
          <w:szCs w:val="26"/>
        </w:rPr>
        <w:t xml:space="preserve">ich więcej niż jedna, </w:t>
      </w:r>
      <w:r w:rsidRPr="00E709B1">
        <w:rPr>
          <w:szCs w:val="26"/>
        </w:rPr>
        <w:t xml:space="preserve">wraz z kopertą na kartę do głosowania </w:t>
      </w:r>
      <w:r>
        <w:rPr>
          <w:szCs w:val="26"/>
        </w:rPr>
        <w:t xml:space="preserve">obwodowa </w:t>
      </w:r>
      <w:r w:rsidRPr="00E709B1">
        <w:rPr>
          <w:szCs w:val="26"/>
        </w:rPr>
        <w:t xml:space="preserve">komisja wyborcza odkłada w jeden odrębny pakiet i </w:t>
      </w:r>
      <w:r>
        <w:rPr>
          <w:szCs w:val="26"/>
        </w:rPr>
        <w:t>opisuje go.</w:t>
      </w:r>
      <w:r w:rsidR="00AC2106">
        <w:rPr>
          <w:szCs w:val="26"/>
        </w:rPr>
        <w:t xml:space="preserve"> P</w:t>
      </w:r>
      <w:r w:rsidR="00AC2106" w:rsidRPr="00AC2106">
        <w:rPr>
          <w:szCs w:val="26"/>
        </w:rPr>
        <w:t>o zakończeniu głosowania</w:t>
      </w:r>
      <w:r w:rsidR="00AC2106">
        <w:rPr>
          <w:szCs w:val="26"/>
        </w:rPr>
        <w:t xml:space="preserve"> pakiet </w:t>
      </w:r>
      <w:r w:rsidR="00AC2106">
        <w:rPr>
          <w:szCs w:val="26"/>
        </w:rPr>
        <w:lastRenderedPageBreak/>
        <w:t xml:space="preserve">ten przekazywany jest </w:t>
      </w:r>
      <w:r w:rsidR="00AC2106" w:rsidRPr="00AC2106">
        <w:rPr>
          <w:szCs w:val="26"/>
        </w:rPr>
        <w:t>urzędnikowi wyborczemu w depozyt w drugim opakowaniu zbiorczym, o czym mowa w pkt 160, łącznie z innymi dokumentami</w:t>
      </w:r>
      <w:r w:rsidR="00AC2106">
        <w:rPr>
          <w:szCs w:val="26"/>
        </w:rPr>
        <w:t>, o których mowa w</w:t>
      </w:r>
      <w:r w:rsidR="006B0130">
        <w:rPr>
          <w:szCs w:val="26"/>
        </w:rPr>
        <w:t> </w:t>
      </w:r>
      <w:r w:rsidR="00AC2106">
        <w:rPr>
          <w:szCs w:val="26"/>
        </w:rPr>
        <w:t>pkt</w:t>
      </w:r>
      <w:r w:rsidR="006B0130">
        <w:rPr>
          <w:szCs w:val="26"/>
        </w:rPr>
        <w:t> </w:t>
      </w:r>
      <w:r w:rsidR="00AC2106">
        <w:rPr>
          <w:szCs w:val="26"/>
        </w:rPr>
        <w:t xml:space="preserve">160 </w:t>
      </w:r>
      <w:proofErr w:type="spellStart"/>
      <w:r w:rsidR="00AC2106">
        <w:rPr>
          <w:szCs w:val="26"/>
        </w:rPr>
        <w:t>ppkt</w:t>
      </w:r>
      <w:proofErr w:type="spellEnd"/>
      <w:r w:rsidR="00AC2106">
        <w:rPr>
          <w:szCs w:val="26"/>
        </w:rPr>
        <w:t xml:space="preserve"> 7 wytycznych.</w:t>
      </w:r>
      <w:r>
        <w:rPr>
          <w:szCs w:val="26"/>
        </w:rPr>
        <w:t xml:space="preserve"> </w:t>
      </w:r>
    </w:p>
    <w:p w14:paraId="47D77FB2" w14:textId="77777777" w:rsidR="001C5C05" w:rsidRPr="00CE7BF5" w:rsidRDefault="001C5C05" w:rsidP="00CE7BF5">
      <w:pPr>
        <w:pStyle w:val="Tekstpodstawowywcity"/>
        <w:suppressAutoHyphens/>
        <w:spacing w:before="0"/>
        <w:ind w:firstLine="1134"/>
        <w:rPr>
          <w:szCs w:val="26"/>
        </w:rPr>
      </w:pPr>
      <w:r>
        <w:rPr>
          <w:szCs w:val="26"/>
        </w:rPr>
        <w:t xml:space="preserve">Państwowa Komisja Wyborcza zwraca się z prośbą o przekazanie </w:t>
      </w:r>
      <w:r w:rsidR="001826D8">
        <w:rPr>
          <w:szCs w:val="26"/>
        </w:rPr>
        <w:t>niniejszych wyjaśnień wszystkim obwodowym komisjom wyborczym na obszarze właściwości komisarza wyborczego.</w:t>
      </w:r>
    </w:p>
    <w:p w14:paraId="314A9A98" w14:textId="77777777" w:rsidR="00BA1250" w:rsidRPr="00F73533" w:rsidRDefault="00BA1250" w:rsidP="00BA1250">
      <w:pPr>
        <w:pStyle w:val="Nagwek1"/>
        <w:keepNext w:val="0"/>
        <w:spacing w:before="600" w:after="60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14:paraId="16198546" w14:textId="77777777" w:rsidR="00BA1250" w:rsidRPr="009F3F63" w:rsidRDefault="00BA1250" w:rsidP="00BA1250">
      <w:pPr>
        <w:spacing w:before="240" w:line="360" w:lineRule="exact"/>
        <w:ind w:left="4820"/>
        <w:jc w:val="center"/>
        <w:rPr>
          <w:szCs w:val="26"/>
          <w:vertAlign w:val="superscript"/>
        </w:rPr>
      </w:pPr>
      <w:r w:rsidRPr="00F73533">
        <w:rPr>
          <w:szCs w:val="26"/>
        </w:rPr>
        <w:t>Sylwester Marciniak</w:t>
      </w:r>
      <w:r w:rsidR="009F3F63">
        <w:rPr>
          <w:szCs w:val="26"/>
        </w:rPr>
        <w:br/>
      </w:r>
      <w:r w:rsidR="009F3F63" w:rsidRPr="009F3F63">
        <w:rPr>
          <w:szCs w:val="26"/>
          <w:vertAlign w:val="superscript"/>
        </w:rPr>
        <w:t>(dokument podpisany elektronicznie)</w:t>
      </w:r>
    </w:p>
    <w:p w14:paraId="6C1A8FEA" w14:textId="77777777" w:rsidR="00F40479" w:rsidRDefault="00F40479"/>
    <w:sectPr w:rsidR="00F40479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BB83F" w14:textId="77777777" w:rsidR="00154C63" w:rsidRDefault="00154C63">
      <w:r>
        <w:separator/>
      </w:r>
    </w:p>
  </w:endnote>
  <w:endnote w:type="continuationSeparator" w:id="0">
    <w:p w14:paraId="28C587D0" w14:textId="77777777" w:rsidR="00154C63" w:rsidRDefault="0015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12C0" w14:textId="77777777" w:rsidR="00154C63" w:rsidRDefault="00154C63">
      <w:r>
        <w:separator/>
      </w:r>
    </w:p>
  </w:footnote>
  <w:footnote w:type="continuationSeparator" w:id="0">
    <w:p w14:paraId="4F36A01E" w14:textId="77777777" w:rsidR="00154C63" w:rsidRDefault="0015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E99E2" w14:textId="77777777" w:rsidR="00000000" w:rsidRDefault="00A5621D">
    <w:pPr>
      <w:pStyle w:val="Nagwek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6E726943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1DB6" w14:textId="77777777" w:rsidR="00000000" w:rsidRDefault="00A5621D">
    <w:pPr>
      <w:pStyle w:val="Nagwek"/>
      <w:framePr w:wrap="around" w:vAnchor="text" w:hAnchor="margin" w:xAlign="center" w:y="1"/>
      <w:spacing w:before="120" w:after="120"/>
      <w:rPr>
        <w:rStyle w:val="Numerstrony"/>
        <w:rFonts w:eastAsiaTheme="majorEastAsia"/>
      </w:rPr>
    </w:pPr>
    <w:r>
      <w:rPr>
        <w:rStyle w:val="Numerstrony"/>
        <w:rFonts w:eastAsiaTheme="majorEastAsia"/>
      </w:rPr>
      <w:t xml:space="preserve">- </w:t>
    </w: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  <w:r>
      <w:rPr>
        <w:rStyle w:val="Numerstrony"/>
        <w:rFonts w:eastAsiaTheme="majorEastAsia"/>
      </w:rPr>
      <w:t xml:space="preserve"> -</w:t>
    </w:r>
  </w:p>
  <w:p w14:paraId="4E1FBAB7" w14:textId="77777777" w:rsidR="00000000" w:rsidRDefault="00000000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50"/>
    <w:rsid w:val="000059E1"/>
    <w:rsid w:val="000D0BCF"/>
    <w:rsid w:val="00154C63"/>
    <w:rsid w:val="00157CB2"/>
    <w:rsid w:val="001826D8"/>
    <w:rsid w:val="001C5C05"/>
    <w:rsid w:val="002A7914"/>
    <w:rsid w:val="00315978"/>
    <w:rsid w:val="00372BF5"/>
    <w:rsid w:val="005F39AB"/>
    <w:rsid w:val="00652967"/>
    <w:rsid w:val="006B0130"/>
    <w:rsid w:val="008814EF"/>
    <w:rsid w:val="009D45D2"/>
    <w:rsid w:val="009F3F63"/>
    <w:rsid w:val="00A5621D"/>
    <w:rsid w:val="00A96A16"/>
    <w:rsid w:val="00AC2106"/>
    <w:rsid w:val="00AC2694"/>
    <w:rsid w:val="00B0735D"/>
    <w:rsid w:val="00BA1250"/>
    <w:rsid w:val="00BA3944"/>
    <w:rsid w:val="00CE7BF5"/>
    <w:rsid w:val="00D8034D"/>
    <w:rsid w:val="00E7411E"/>
    <w:rsid w:val="00F4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343E"/>
  <w15:chartTrackingRefBased/>
  <w15:docId w15:val="{AA0F4FE5-1972-45F9-AB0B-7616313E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2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1250"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A1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25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A1250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A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A125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BA1250"/>
  </w:style>
  <w:style w:type="paragraph" w:styleId="Tekstpodstawowy">
    <w:name w:val="Body Text"/>
    <w:basedOn w:val="Normalny"/>
    <w:link w:val="TekstpodstawowyZnak"/>
    <w:semiHidden/>
    <w:rsid w:val="00BA1250"/>
    <w:pPr>
      <w:ind w:right="6520"/>
      <w:jc w:val="center"/>
    </w:pPr>
    <w:rPr>
      <w:b/>
      <w:kern w:val="26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1250"/>
    <w:rPr>
      <w:rFonts w:ascii="Times New Roman" w:eastAsia="Times New Roman" w:hAnsi="Times New Roman" w:cs="Times New Roman"/>
      <w:b/>
      <w:kern w:val="26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A1250"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125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1250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Arkadiusz Czapski</cp:lastModifiedBy>
  <cp:revision>2</cp:revision>
  <cp:lastPrinted>2024-05-29T07:30:00Z</cp:lastPrinted>
  <dcterms:created xsi:type="dcterms:W3CDTF">2024-05-29T07:30:00Z</dcterms:created>
  <dcterms:modified xsi:type="dcterms:W3CDTF">2024-05-29T07:30:00Z</dcterms:modified>
</cp:coreProperties>
</file>