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7E0" w:rsidRDefault="008017E0" w:rsidP="008017E0">
      <w:pPr>
        <w:spacing w:before="480" w:after="0" w:line="25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H do SWZ</w:t>
      </w:r>
    </w:p>
    <w:p w:rsidR="008017E0" w:rsidRDefault="008017E0" w:rsidP="008017E0">
      <w:pPr>
        <w:spacing w:after="0"/>
        <w:rPr>
          <w:rFonts w:ascii="Arial" w:hAnsi="Arial" w:cs="Arial"/>
          <w:b/>
          <w:sz w:val="20"/>
          <w:szCs w:val="20"/>
        </w:rPr>
      </w:pPr>
    </w:p>
    <w:p w:rsidR="008017E0" w:rsidRDefault="008017E0" w:rsidP="008017E0">
      <w:pPr>
        <w:spacing w:after="0"/>
        <w:rPr>
          <w:rFonts w:ascii="Arial" w:hAnsi="Arial" w:cs="Arial"/>
          <w:b/>
          <w:sz w:val="20"/>
          <w:szCs w:val="20"/>
        </w:rPr>
      </w:pPr>
    </w:p>
    <w:p w:rsidR="003D79A6" w:rsidRPr="003D79A6" w:rsidRDefault="003D79A6" w:rsidP="003D79A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/ </w:t>
      </w:r>
      <w:r w:rsidRPr="003D79A6">
        <w:rPr>
          <w:rFonts w:ascii="Arial" w:hAnsi="Arial" w:cs="Arial"/>
          <w:b/>
          <w:sz w:val="20"/>
          <w:szCs w:val="20"/>
        </w:rPr>
        <w:t>Podmiot udostępniający zasoby:</w:t>
      </w:r>
    </w:p>
    <w:p w:rsidR="008017E0" w:rsidRDefault="008017E0" w:rsidP="008017E0">
      <w:pPr>
        <w:spacing w:after="0"/>
        <w:rPr>
          <w:rFonts w:ascii="Arial" w:hAnsi="Arial" w:cs="Arial"/>
          <w:b/>
          <w:sz w:val="20"/>
          <w:szCs w:val="20"/>
        </w:rPr>
      </w:pPr>
    </w:p>
    <w:p w:rsidR="008017E0" w:rsidRDefault="008017E0" w:rsidP="008017E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8017E0" w:rsidRDefault="008017E0" w:rsidP="008017E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017E0" w:rsidRDefault="008017E0" w:rsidP="008017E0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017E0" w:rsidRDefault="008017E0" w:rsidP="008017E0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8017E0" w:rsidRDefault="008017E0" w:rsidP="008017E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8017E0" w:rsidRDefault="008017E0" w:rsidP="008017E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 / podstawa do reprezentacji)</w:t>
      </w:r>
    </w:p>
    <w:p w:rsidR="008017E0" w:rsidRDefault="008017E0" w:rsidP="008017E0">
      <w:pPr>
        <w:rPr>
          <w:rFonts w:ascii="Arial" w:hAnsi="Arial" w:cs="Arial"/>
        </w:rPr>
      </w:pPr>
    </w:p>
    <w:p w:rsidR="008017E0" w:rsidRDefault="008017E0" w:rsidP="008017E0">
      <w:pPr>
        <w:spacing w:after="0"/>
        <w:rPr>
          <w:rFonts w:ascii="Arial" w:hAnsi="Arial" w:cs="Arial"/>
          <w:b/>
          <w:sz w:val="20"/>
          <w:szCs w:val="20"/>
        </w:rPr>
      </w:pPr>
    </w:p>
    <w:p w:rsidR="008017E0" w:rsidRDefault="008017E0" w:rsidP="008017E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 / wykonawcy wspólnie ubiegającego się o udzielenie zamówienia / </w:t>
      </w:r>
      <w:r w:rsidR="00CF47B2">
        <w:rPr>
          <w:rFonts w:ascii="Arial" w:hAnsi="Arial" w:cs="Arial"/>
          <w:b/>
          <w:u w:val="single"/>
        </w:rPr>
        <w:t>p</w:t>
      </w:r>
      <w:r w:rsidR="005A389E">
        <w:rPr>
          <w:rFonts w:ascii="Arial" w:hAnsi="Arial" w:cs="Arial"/>
          <w:b/>
          <w:u w:val="single"/>
        </w:rPr>
        <w:t>odmiotu udostępniającego zasoby*</w:t>
      </w:r>
    </w:p>
    <w:p w:rsidR="006651E4" w:rsidRDefault="006651E4" w:rsidP="006651E4">
      <w:pPr>
        <w:spacing w:after="120" w:line="360" w:lineRule="auto"/>
        <w:rPr>
          <w:rFonts w:ascii="Arial" w:hAnsi="Arial" w:cs="Arial"/>
          <w:sz w:val="21"/>
          <w:szCs w:val="21"/>
        </w:rPr>
      </w:pPr>
    </w:p>
    <w:p w:rsidR="008A13D4" w:rsidRPr="000A64CA" w:rsidRDefault="006651E4" w:rsidP="008A13D4">
      <w:pPr>
        <w:spacing w:after="120" w:line="360" w:lineRule="auto"/>
        <w:jc w:val="both"/>
        <w:rPr>
          <w:rFonts w:ascii="Arial" w:hAnsi="Arial" w:cs="Arial"/>
          <w:bCs/>
        </w:rPr>
      </w:pPr>
      <w:r w:rsidRPr="000A64CA">
        <w:rPr>
          <w:rFonts w:ascii="Arial" w:hAnsi="Arial" w:cs="Arial"/>
        </w:rPr>
        <w:t xml:space="preserve">Na potrzeby postępowania o udzielenie zamówienia publicznego pn. </w:t>
      </w:r>
      <w:r w:rsidRPr="000A64CA">
        <w:rPr>
          <w:rFonts w:ascii="Arial" w:eastAsia="Times New Roman" w:hAnsi="Arial" w:cs="Arial"/>
          <w:b/>
          <w:lang w:eastAsia="pl-PL"/>
        </w:rPr>
        <w:t xml:space="preserve">„Budowa krytej pływalni wraz z zagospodarowaniem terenu w ramach zadania pn.: "Basen miejski przy </w:t>
      </w:r>
      <w:r w:rsidRPr="000A64CA">
        <w:rPr>
          <w:rFonts w:ascii="Arial" w:eastAsia="Times New Roman" w:hAnsi="Arial" w:cs="Arial"/>
          <w:b/>
          <w:lang w:eastAsia="pl-PL"/>
        </w:rPr>
        <w:br/>
        <w:t>ul. Chyliczkowskiej”</w:t>
      </w:r>
      <w:r w:rsidRPr="000A64CA">
        <w:rPr>
          <w:rFonts w:ascii="Arial" w:hAnsi="Arial" w:cs="Arial"/>
        </w:rPr>
        <w:t>,</w:t>
      </w:r>
      <w:r w:rsidRPr="000A64CA">
        <w:rPr>
          <w:rFonts w:ascii="Arial" w:hAnsi="Arial" w:cs="Arial"/>
          <w:i/>
        </w:rPr>
        <w:t xml:space="preserve"> </w:t>
      </w:r>
      <w:r w:rsidRPr="000A64CA">
        <w:rPr>
          <w:rFonts w:ascii="Arial" w:hAnsi="Arial" w:cs="Arial"/>
        </w:rPr>
        <w:t>oświadczam</w:t>
      </w:r>
      <w:r w:rsidR="008A13D4" w:rsidRPr="000A64CA">
        <w:rPr>
          <w:rFonts w:ascii="Arial" w:hAnsi="Arial" w:cs="Arial"/>
        </w:rPr>
        <w:t xml:space="preserve">, </w:t>
      </w:r>
      <w:r w:rsidR="008A13D4" w:rsidRPr="000A64CA">
        <w:rPr>
          <w:rFonts w:ascii="Arial" w:hAnsi="Arial" w:cs="Arial"/>
          <w:bCs/>
        </w:rPr>
        <w:t>że informacje zawarte</w:t>
      </w:r>
      <w:r w:rsidR="000F021A" w:rsidRPr="000A64CA">
        <w:rPr>
          <w:rFonts w:ascii="Arial" w:hAnsi="Arial" w:cs="Arial"/>
          <w:bCs/>
        </w:rPr>
        <w:t xml:space="preserve"> w oświadczeniu, o którym mowa </w:t>
      </w:r>
      <w:r w:rsidR="008A13D4" w:rsidRPr="000A64CA">
        <w:rPr>
          <w:rFonts w:ascii="Arial" w:hAnsi="Arial" w:cs="Arial"/>
          <w:bCs/>
        </w:rPr>
        <w:br/>
      </w:r>
      <w:r w:rsidR="000F021A" w:rsidRPr="000A64CA">
        <w:rPr>
          <w:rFonts w:ascii="Arial" w:hAnsi="Arial" w:cs="Arial"/>
          <w:bCs/>
        </w:rPr>
        <w:t xml:space="preserve">w art. 125 ust. 1 ustawy z dnia 11 września 2019 r. Prawo zamówień publicznych (dalej jako: ustawa </w:t>
      </w:r>
      <w:proofErr w:type="spellStart"/>
      <w:r w:rsidR="000F021A" w:rsidRPr="000A64CA">
        <w:rPr>
          <w:rFonts w:ascii="Arial" w:hAnsi="Arial" w:cs="Arial"/>
          <w:bCs/>
        </w:rPr>
        <w:t>Pzp</w:t>
      </w:r>
      <w:proofErr w:type="spellEnd"/>
      <w:r w:rsidR="000F021A" w:rsidRPr="000A64CA">
        <w:rPr>
          <w:rFonts w:ascii="Arial" w:hAnsi="Arial" w:cs="Arial"/>
          <w:bCs/>
        </w:rPr>
        <w:t xml:space="preserve">), w zakresie </w:t>
      </w:r>
      <w:r w:rsidR="00AE42DC" w:rsidRPr="000A64CA">
        <w:rPr>
          <w:rFonts w:ascii="Arial" w:hAnsi="Arial" w:cs="Arial"/>
          <w:bCs/>
        </w:rPr>
        <w:t>spełniania warunków udziału z postępowania wskazanych przez Zamawiającego</w:t>
      </w:r>
      <w:r w:rsidR="00AE42DC" w:rsidRPr="000A64CA">
        <w:rPr>
          <w:rFonts w:ascii="Arial" w:hAnsi="Arial" w:cs="Arial"/>
          <w:b/>
          <w:bCs/>
        </w:rPr>
        <w:t xml:space="preserve"> </w:t>
      </w:r>
      <w:r w:rsidR="00AE42DC" w:rsidRPr="000A64CA">
        <w:rPr>
          <w:rFonts w:ascii="Arial" w:hAnsi="Arial" w:cs="Arial"/>
          <w:bCs/>
        </w:rPr>
        <w:t>oraz</w:t>
      </w:r>
      <w:r w:rsidR="00AE42DC" w:rsidRPr="000A64CA">
        <w:rPr>
          <w:rFonts w:ascii="Arial" w:hAnsi="Arial" w:cs="Arial"/>
          <w:b/>
          <w:bCs/>
        </w:rPr>
        <w:t xml:space="preserve"> </w:t>
      </w:r>
      <w:r w:rsidR="000F021A" w:rsidRPr="000A64CA">
        <w:rPr>
          <w:rFonts w:ascii="Arial" w:hAnsi="Arial" w:cs="Arial"/>
          <w:bCs/>
        </w:rPr>
        <w:t xml:space="preserve">podstaw wykluczenia </w:t>
      </w:r>
      <w:r w:rsidR="008A13D4" w:rsidRPr="000A64CA">
        <w:rPr>
          <w:rFonts w:ascii="Arial" w:hAnsi="Arial" w:cs="Arial"/>
          <w:bCs/>
        </w:rPr>
        <w:t xml:space="preserve">z postępowania wskazanych </w:t>
      </w:r>
      <w:r w:rsidR="00AE42DC" w:rsidRPr="000A64CA">
        <w:rPr>
          <w:rFonts w:ascii="Arial" w:hAnsi="Arial" w:cs="Arial"/>
          <w:bCs/>
        </w:rPr>
        <w:t>przez Z</w:t>
      </w:r>
      <w:r w:rsidR="008A13D4" w:rsidRPr="000A64CA">
        <w:rPr>
          <w:rFonts w:ascii="Arial" w:hAnsi="Arial" w:cs="Arial"/>
          <w:bCs/>
        </w:rPr>
        <w:t xml:space="preserve">amawiającego, o których mowa w: </w:t>
      </w:r>
    </w:p>
    <w:p w:rsidR="00AE42DC" w:rsidRPr="00AE42DC" w:rsidRDefault="005424EB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7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108 ust. 1 pkt 3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</w:t>
      </w:r>
    </w:p>
    <w:p w:rsidR="00AE42DC" w:rsidRPr="00AE42DC" w:rsidRDefault="005424EB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8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108 ust. 1 pkt 4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dotyczących orzeczenia zakazu ubiegania się o zamówienie publiczne tytułem środka zapobiegawczego, </w:t>
      </w:r>
    </w:p>
    <w:p w:rsidR="00AE42DC" w:rsidRPr="00AE42DC" w:rsidRDefault="005424EB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9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108 ust. 1 pkt 5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dotyczących zawarcia z innymi wykonawcami porozumienia mającego na celu zakłócenie konkurencji, </w:t>
      </w:r>
    </w:p>
    <w:p w:rsidR="00AE42DC" w:rsidRPr="00AE42DC" w:rsidRDefault="005424EB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10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108 ust. 1 pkt 6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</w:t>
      </w:r>
    </w:p>
    <w:p w:rsidR="00AE42DC" w:rsidRPr="00AE42DC" w:rsidRDefault="005424EB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11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109 ust. 1 pkt 1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odnośnie do naruszenia obowiązków dotyczących płatności podatków i opłat lokalnych, o których mowa w ustawie z dnia 12 stycznia 1991 r. o podatkach i opłatach lokalnych (Dz.U. z 2019 r. </w:t>
      </w:r>
      <w:hyperlink r:id="rId12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poz. 1170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), </w:t>
      </w:r>
    </w:p>
    <w:p w:rsidR="00AE42DC" w:rsidRPr="00AE42DC" w:rsidRDefault="005424EB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13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109 ust. 1 pkt 2 lit. b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dotyczących ukarania za wykroczenie, za które wymierzono karę ograniczenia wolności lub karę grzywny, </w:t>
      </w:r>
    </w:p>
    <w:p w:rsidR="00AE42DC" w:rsidRPr="00AE42DC" w:rsidRDefault="005424EB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14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109 ust. 1 pkt 2 lit. c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</w:t>
      </w:r>
    </w:p>
    <w:p w:rsidR="00AE42DC" w:rsidRPr="00AE42DC" w:rsidRDefault="005424EB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15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109 ust. 1 pkt 3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dotyczących ukarania za wykroczenie, za które wymierzono karę ograniczenia wolności lub karę grzywny, </w:t>
      </w:r>
    </w:p>
    <w:p w:rsidR="00AE42DC" w:rsidRPr="00AE42DC" w:rsidRDefault="005424EB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16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109 ust. 1 pkt 5-10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ustawy. </w:t>
      </w:r>
    </w:p>
    <w:p w:rsidR="00AE42DC" w:rsidRPr="00AE42DC" w:rsidRDefault="00AE42DC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r w:rsidRPr="00AE42DC">
        <w:rPr>
          <w:rFonts w:ascii="Arial" w:eastAsia="Calibri" w:hAnsi="Arial" w:cs="Arial"/>
          <w:lang w:val="x-none"/>
        </w:rPr>
        <w:t xml:space="preserve">w art. 7 ust. 1 ustawy z dnia 13 kwietnia 2022r. o szczególnych rozwiązaniach </w:t>
      </w:r>
      <w:r w:rsidRPr="000A64CA">
        <w:rPr>
          <w:rFonts w:ascii="Arial" w:eastAsia="Calibri" w:hAnsi="Arial" w:cs="Arial"/>
          <w:lang w:val="x-none"/>
        </w:rPr>
        <w:br/>
      </w:r>
      <w:r w:rsidRPr="00AE42DC">
        <w:rPr>
          <w:rFonts w:ascii="Arial" w:eastAsia="Calibri" w:hAnsi="Arial" w:cs="Arial"/>
          <w:lang w:val="x-none"/>
        </w:rPr>
        <w:t xml:space="preserve">w zakresie przeciwdziałania wspieraniu agresji na Ukrainę oraz służących ochronie bezpieczeństwa narodowego; (Dz. U. z  dnia 15 kwietnia 2022r. Poz. 835). </w:t>
      </w:r>
    </w:p>
    <w:p w:rsidR="00AE42DC" w:rsidRPr="00AE42DC" w:rsidRDefault="00AE42DC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r w:rsidRPr="00AE42DC">
        <w:rPr>
          <w:rFonts w:ascii="Arial" w:eastAsia="Calibri" w:hAnsi="Arial" w:cs="Arial"/>
        </w:rPr>
        <w:t xml:space="preserve">art. 5k rozporządzenia Rady (UE) nr 833/2014 z dnia 31 lipca 2014 r. dotyczącego środków ograniczających w związku z działaniami Rosji destabilizującymi sytuację </w:t>
      </w:r>
      <w:r w:rsidRPr="00AE42DC">
        <w:rPr>
          <w:rFonts w:ascii="Arial" w:eastAsia="Calibri" w:hAnsi="Arial" w:cs="Arial"/>
        </w:rPr>
        <w:br/>
        <w:t xml:space="preserve">na Ukrainie (Dz. Urz. UE nr L 229 z 31.7.2014, str. 1), dalej: rozporządzenie 833/2014, </w:t>
      </w:r>
      <w:r w:rsidRPr="00AE42DC">
        <w:rPr>
          <w:rFonts w:ascii="Arial" w:eastAsia="Calibri" w:hAnsi="Arial" w:cs="Arial"/>
        </w:rPr>
        <w:br/>
        <w:t xml:space="preserve">w brzmieniu nadanym rozporządzeniem Rady (UE) 2022/576 w sprawie zmiany rozporządzenia (UE) nr 833/2014 dotyczącego środków ograniczających w związku </w:t>
      </w:r>
      <w:r w:rsidRPr="00AE42DC">
        <w:rPr>
          <w:rFonts w:ascii="Arial" w:eastAsia="Calibri" w:hAnsi="Arial" w:cs="Arial"/>
        </w:rPr>
        <w:br/>
        <w:t xml:space="preserve">z działaniami Rosji destabilizującymi sytuację na Ukrainie (Dz. Urz. UE nr L 111 </w:t>
      </w:r>
      <w:r w:rsidRPr="00AE42DC">
        <w:rPr>
          <w:rFonts w:ascii="Arial" w:eastAsia="Calibri" w:hAnsi="Arial" w:cs="Arial"/>
        </w:rPr>
        <w:br/>
        <w:t>z 8.4.2022, str. 1)</w:t>
      </w:r>
    </w:p>
    <w:p w:rsidR="008A13D4" w:rsidRPr="000A64CA" w:rsidRDefault="008A13D4" w:rsidP="008A13D4">
      <w:pPr>
        <w:spacing w:after="120" w:line="360" w:lineRule="auto"/>
        <w:jc w:val="both"/>
        <w:rPr>
          <w:rFonts w:ascii="Arial" w:hAnsi="Arial" w:cs="Arial"/>
          <w:bCs/>
        </w:rPr>
      </w:pPr>
    </w:p>
    <w:p w:rsidR="00CF47B2" w:rsidRDefault="000F021A" w:rsidP="00AE42DC">
      <w:pPr>
        <w:spacing w:after="120" w:line="360" w:lineRule="auto"/>
        <w:rPr>
          <w:rFonts w:ascii="Arial" w:hAnsi="Arial" w:cs="Arial"/>
          <w:b/>
          <w:bCs/>
        </w:rPr>
      </w:pPr>
      <w:r w:rsidRPr="000A64CA">
        <w:rPr>
          <w:rFonts w:ascii="Arial" w:hAnsi="Arial" w:cs="Arial"/>
          <w:b/>
          <w:bCs/>
        </w:rPr>
        <w:t>są nadal aktualne.</w:t>
      </w:r>
    </w:p>
    <w:p w:rsidR="000A64CA" w:rsidRDefault="000A64CA" w:rsidP="00AE42DC">
      <w:pPr>
        <w:spacing w:after="120" w:line="360" w:lineRule="auto"/>
        <w:rPr>
          <w:rFonts w:ascii="Arial" w:hAnsi="Arial" w:cs="Arial"/>
          <w:b/>
          <w:bCs/>
        </w:rPr>
      </w:pPr>
    </w:p>
    <w:p w:rsidR="000A64CA" w:rsidRPr="000A64CA" w:rsidRDefault="000A64CA" w:rsidP="00AE42DC">
      <w:pPr>
        <w:spacing w:after="120" w:line="360" w:lineRule="auto"/>
        <w:rPr>
          <w:rFonts w:ascii="Arial" w:hAnsi="Arial" w:cs="Arial"/>
          <w:b/>
          <w:u w:val="single"/>
        </w:rPr>
      </w:pPr>
    </w:p>
    <w:p w:rsidR="005F6F36" w:rsidRDefault="005F6F36" w:rsidP="005F6F36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…………………………………….</w:t>
      </w:r>
    </w:p>
    <w:p w:rsidR="005F6F36" w:rsidRPr="00A345E9" w:rsidRDefault="005F6F36" w:rsidP="005F6F3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p w:rsidR="005A389E" w:rsidRDefault="005A389E" w:rsidP="005F6F36">
      <w:pPr>
        <w:jc w:val="right"/>
      </w:pPr>
    </w:p>
    <w:p w:rsidR="005A389E" w:rsidRPr="005A389E" w:rsidRDefault="005A389E" w:rsidP="005A389E"/>
    <w:p w:rsidR="005A389E" w:rsidRPr="005A389E" w:rsidRDefault="005A389E" w:rsidP="005A389E"/>
    <w:p w:rsidR="005A389E" w:rsidRPr="005A389E" w:rsidRDefault="005A389E" w:rsidP="005A389E"/>
    <w:p w:rsidR="005A389E" w:rsidRPr="005A389E" w:rsidRDefault="005A389E" w:rsidP="005A389E"/>
    <w:p w:rsidR="005A389E" w:rsidRPr="005A389E" w:rsidRDefault="005A389E" w:rsidP="005A389E"/>
    <w:p w:rsidR="005A389E" w:rsidRPr="005A389E" w:rsidRDefault="005A389E" w:rsidP="005A389E"/>
    <w:p w:rsidR="005A389E" w:rsidRPr="005A389E" w:rsidRDefault="005A389E" w:rsidP="005A389E"/>
    <w:p w:rsidR="005A389E" w:rsidRPr="005A389E" w:rsidRDefault="005A389E" w:rsidP="005A389E"/>
    <w:p w:rsidR="005A389E" w:rsidRPr="005A389E" w:rsidRDefault="005A389E" w:rsidP="005A389E"/>
    <w:p w:rsidR="005A389E" w:rsidRPr="005A389E" w:rsidRDefault="005A389E" w:rsidP="005A389E"/>
    <w:p w:rsidR="005A389E" w:rsidRPr="005A389E" w:rsidRDefault="005A389E" w:rsidP="005A389E"/>
    <w:p w:rsidR="005A389E" w:rsidRDefault="005A389E" w:rsidP="005A389E">
      <w:pPr>
        <w:pStyle w:val="Tekstprzypisudolnego"/>
        <w:jc w:val="both"/>
        <w:rPr>
          <w:sz w:val="22"/>
          <w:szCs w:val="22"/>
        </w:rPr>
      </w:pPr>
      <w:bookmarkStart w:id="1" w:name="_GoBack"/>
      <w:bookmarkEnd w:id="1"/>
    </w:p>
    <w:p w:rsidR="005A389E" w:rsidRPr="00B929A1" w:rsidRDefault="005A389E" w:rsidP="005A389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p w:rsidR="0063440C" w:rsidRPr="005A389E" w:rsidRDefault="0063440C" w:rsidP="005A389E"/>
    <w:sectPr w:rsidR="0063440C" w:rsidRPr="005A3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4EB" w:rsidRDefault="005424EB" w:rsidP="005A389E">
      <w:pPr>
        <w:spacing w:after="0" w:line="240" w:lineRule="auto"/>
      </w:pPr>
      <w:r>
        <w:separator/>
      </w:r>
    </w:p>
  </w:endnote>
  <w:endnote w:type="continuationSeparator" w:id="0">
    <w:p w:rsidR="005424EB" w:rsidRDefault="005424EB" w:rsidP="005A3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4EB" w:rsidRDefault="005424EB" w:rsidP="005A389E">
      <w:pPr>
        <w:spacing w:after="0" w:line="240" w:lineRule="auto"/>
      </w:pPr>
      <w:r>
        <w:separator/>
      </w:r>
    </w:p>
  </w:footnote>
  <w:footnote w:type="continuationSeparator" w:id="0">
    <w:p w:rsidR="005424EB" w:rsidRDefault="005424EB" w:rsidP="005A3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844FC"/>
    <w:multiLevelType w:val="hybridMultilevel"/>
    <w:tmpl w:val="8CD8D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E0"/>
    <w:rsid w:val="000A64CA"/>
    <w:rsid w:val="000F021A"/>
    <w:rsid w:val="003D79A6"/>
    <w:rsid w:val="005424EB"/>
    <w:rsid w:val="005A389E"/>
    <w:rsid w:val="005F6F36"/>
    <w:rsid w:val="0063440C"/>
    <w:rsid w:val="006651E4"/>
    <w:rsid w:val="008017E0"/>
    <w:rsid w:val="008A13D4"/>
    <w:rsid w:val="00AE42DC"/>
    <w:rsid w:val="00C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5335A"/>
  <w15:chartTrackingRefBased/>
  <w15:docId w15:val="{ACF68071-5857-4830-8B04-C2ADF941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7E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A3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89E"/>
  </w:style>
  <w:style w:type="paragraph" w:styleId="Stopka">
    <w:name w:val="footer"/>
    <w:basedOn w:val="Normalny"/>
    <w:link w:val="StopkaZnak"/>
    <w:uiPriority w:val="99"/>
    <w:unhideWhenUsed/>
    <w:rsid w:val="005A3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8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8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89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y" TargetMode="External"/><Relationship Id="rId13" Type="http://schemas.openxmlformats.org/officeDocument/2006/relationships/hyperlink" Target="https://sip.legalis.pl/document-view.seam?documentId=mfrxilrtg4ytimjzhe4tiltqmfyc4njrga4danrqgq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imjzhe4tiltqmfyc4njrga4danjzgu" TargetMode="External"/><Relationship Id="rId12" Type="http://schemas.openxmlformats.org/officeDocument/2006/relationships/hyperlink" Target="https://sip.legalis.pl/document-view.seam?documentId=mfrxilrtg4ytgobqgy2tkltqmfyc4nbzgq3tkobrg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galis.pl/document-view.seam?documentId=mfrxilrtg4ytimjzhe4tiltqmfyc4njrga4danrqg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imjzhe4tiltqmfyc4njrga4danrqg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galis.pl/document-view.seam?documentId=mfrxilrtg4ytimjzhe4tiltqmfyc4njrga4danrqgu" TargetMode="External"/><Relationship Id="rId10" Type="http://schemas.openxmlformats.org/officeDocument/2006/relationships/hyperlink" Target="https://sip.legalis.pl/document-view.seam?documentId=mfrxilrtg4ytimjzhe4tiltqmfyc4njrga4danjzh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mjzhe4tiltqmfyc4njrga4danjzg4" TargetMode="External"/><Relationship Id="rId14" Type="http://schemas.openxmlformats.org/officeDocument/2006/relationships/hyperlink" Target="https://sip.legalis.pl/document-view.seam?documentId=mfrxilrtg4ytimjzhe4tiltqmfyc4njrga4danrqg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Miszkowska</dc:creator>
  <cp:keywords/>
  <dc:description/>
  <cp:lastModifiedBy>Irena Miszkowska</cp:lastModifiedBy>
  <cp:revision>26</cp:revision>
  <dcterms:created xsi:type="dcterms:W3CDTF">2024-06-24T09:46:00Z</dcterms:created>
  <dcterms:modified xsi:type="dcterms:W3CDTF">2024-06-24T12:12:00Z</dcterms:modified>
</cp:coreProperties>
</file>